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A40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2024年度山西省科学技术奖临汾市拟提名项目情况简介</w:t>
      </w:r>
    </w:p>
    <w:p w14:paraId="63CD4D3E">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项目名称：700MPa超高强锚杆钢控轧控冷关键制备技术开发及应用</w:t>
      </w:r>
    </w:p>
    <w:p w14:paraId="000DE7FD">
      <w:pPr>
        <w:numPr>
          <w:ilvl w:val="0"/>
          <w:numId w:val="0"/>
        </w:numPr>
        <w:ind w:left="640" w:leftChars="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提名者及提名意见</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临汾市  进步类成果转化二等奖</w:t>
      </w:r>
    </w:p>
    <w:p w14:paraId="1E4CFA25">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项目简介</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项目组经过长期探索，依靠自主创新，在大量研究工作基础上，开发出700MPa锚杆钢控轧控冷技术，开辟了低合金含量、高锚杆钢性能的新制备途径。取得了四大关键技术创新：成分体系创新、“轧制-热处理”一体化组织调控新方法、高效经济控轧控冷技术、流程创新。 </w:t>
      </w:r>
    </w:p>
    <w:p w14:paraId="36A284D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客观评价</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该项目的实施，解决了锚杆钢所面临的强度低、韧性不足和耐蚀性差、服役寿命低等关键共性技术难题，具有明显的创新性和广泛的应用性，实现了高强高韧锚杆钢国产化。经山西省金属协会组织评价，项目整体技术达到了国际先进水平。</w:t>
      </w:r>
    </w:p>
    <w:p w14:paraId="085C59E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推广应用情况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目前产品已应用于甘肃清煤捷马矿山有限公司、陕西麟北矿山机械设备制造有限公司等企业，以及山东、山西等大型煤矿。</w:t>
      </w:r>
    </w:p>
    <w:p w14:paraId="7F60F64E">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主要知识产权证明目录</w:t>
      </w:r>
      <w:r>
        <w:rPr>
          <w:rFonts w:hint="eastAsia" w:ascii="仿宋_GB2312" w:hAnsi="仿宋_GB2312" w:eastAsia="仿宋_GB2312" w:cs="仿宋_GB2312"/>
          <w:b/>
          <w:bCs/>
          <w:sz w:val="32"/>
          <w:szCs w:val="32"/>
          <w:lang w:val="en-US" w:eastAsia="zh-CN"/>
        </w:rPr>
        <w:t>:</w:t>
      </w:r>
    </w:p>
    <w:tbl>
      <w:tblPr>
        <w:tblStyle w:val="3"/>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80"/>
        <w:gridCol w:w="2223"/>
        <w:gridCol w:w="2509"/>
      </w:tblGrid>
      <w:tr w14:paraId="5BE3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6C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授权（申请）项目名称</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D9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知识产权类别</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E2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授 权 号</w:t>
            </w:r>
          </w:p>
        </w:tc>
      </w:tr>
      <w:tr w14:paraId="01B0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66B4">
            <w:pPr>
              <w:snapToGrid w:val="0"/>
              <w:spacing w:line="240" w:lineRule="auto"/>
              <w:jc w:val="center"/>
              <w:rPr>
                <w:rFonts w:hint="eastAsia" w:ascii="宋体" w:hAnsi="宋体" w:eastAsia="宋体" w:cs="宋体"/>
                <w:i w:val="0"/>
                <w:iCs w:val="0"/>
                <w:color w:val="000000"/>
                <w:sz w:val="24"/>
                <w:szCs w:val="24"/>
                <w:u w:val="none"/>
              </w:rPr>
            </w:pPr>
            <w:r>
              <w:rPr>
                <w:rFonts w:hint="eastAsia" w:hAnsi="楷体" w:eastAsia="楷体" w:cs="Times New Roman"/>
                <w:sz w:val="22"/>
                <w:lang w:val="en-US" w:eastAsia="zh-CN"/>
              </w:rPr>
              <w:t>一种多线切分轧制中轧辊冷却水管的制作方法</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7FB7">
            <w:pPr>
              <w:snapToGrid w:val="0"/>
              <w:spacing w:line="240" w:lineRule="auto"/>
              <w:jc w:val="center"/>
              <w:rPr>
                <w:rFonts w:hint="eastAsia" w:ascii="宋体" w:hAnsi="宋体" w:eastAsia="宋体" w:cs="宋体"/>
                <w:i w:val="0"/>
                <w:iCs w:val="0"/>
                <w:color w:val="000000"/>
                <w:sz w:val="24"/>
                <w:szCs w:val="24"/>
                <w:u w:val="none"/>
              </w:rPr>
            </w:pPr>
            <w:r>
              <w:rPr>
                <w:rFonts w:hint="eastAsia" w:hAnsi="楷体" w:eastAsia="楷体" w:cs="Times New Roman"/>
                <w:sz w:val="22"/>
                <w:lang w:val="en-US" w:eastAsia="zh-CN"/>
              </w:rPr>
              <w:t>发明专利</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816F">
            <w:pPr>
              <w:snapToGrid w:val="0"/>
              <w:spacing w:line="240" w:lineRule="auto"/>
              <w:jc w:val="center"/>
              <w:rPr>
                <w:rFonts w:hint="eastAsia" w:ascii="宋体" w:hAnsi="宋体" w:eastAsia="宋体" w:cs="宋体"/>
                <w:i w:val="0"/>
                <w:iCs w:val="0"/>
                <w:color w:val="000000"/>
                <w:sz w:val="24"/>
                <w:szCs w:val="24"/>
                <w:u w:val="none"/>
              </w:rPr>
            </w:pPr>
            <w:r>
              <w:rPr>
                <w:rFonts w:hint="eastAsia" w:hAnsi="楷体" w:eastAsia="楷体"/>
                <w:sz w:val="22"/>
              </w:rPr>
              <w:t>CN109158423B</w:t>
            </w:r>
          </w:p>
        </w:tc>
      </w:tr>
      <w:tr w14:paraId="7363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8404">
            <w:pPr>
              <w:snapToGrid w:val="0"/>
              <w:spacing w:line="240" w:lineRule="auto"/>
              <w:jc w:val="center"/>
              <w:rPr>
                <w:rFonts w:hint="eastAsia" w:ascii="宋体" w:hAnsi="宋体" w:eastAsia="宋体" w:cs="宋体"/>
                <w:i w:val="0"/>
                <w:iCs w:val="0"/>
                <w:color w:val="000000"/>
                <w:sz w:val="24"/>
                <w:szCs w:val="24"/>
                <w:u w:val="none"/>
              </w:rPr>
            </w:pPr>
            <w:r>
              <w:rPr>
                <w:rFonts w:hint="eastAsia" w:hAnsi="楷体" w:eastAsia="楷体" w:cs="Times New Roman"/>
                <w:sz w:val="22"/>
                <w:lang w:val="en-US" w:eastAsia="zh-CN"/>
              </w:rPr>
              <w:t>一种短应力轧机控制本体间隙防弹跳机构</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3F8C">
            <w:pPr>
              <w:snapToGrid w:val="0"/>
              <w:spacing w:line="240" w:lineRule="auto"/>
              <w:jc w:val="center"/>
              <w:rPr>
                <w:rFonts w:hint="eastAsia" w:ascii="宋体" w:hAnsi="宋体" w:eastAsia="宋体" w:cs="宋体"/>
                <w:i w:val="0"/>
                <w:iCs w:val="0"/>
                <w:color w:val="000000"/>
                <w:sz w:val="24"/>
                <w:szCs w:val="24"/>
                <w:u w:val="none"/>
              </w:rPr>
            </w:pPr>
            <w:r>
              <w:rPr>
                <w:rFonts w:hint="eastAsia" w:hAnsi="楷体" w:eastAsia="楷体" w:cs="Times New Roman"/>
                <w:sz w:val="22"/>
                <w:lang w:val="en-US" w:eastAsia="zh-CN"/>
              </w:rPr>
              <w:t>实用新型专利</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0F93">
            <w:pPr>
              <w:snapToGrid w:val="0"/>
              <w:spacing w:line="240" w:lineRule="auto"/>
              <w:jc w:val="center"/>
              <w:rPr>
                <w:rFonts w:hint="eastAsia" w:ascii="宋体" w:hAnsi="宋体" w:eastAsia="宋体" w:cs="宋体"/>
                <w:i w:val="0"/>
                <w:iCs w:val="0"/>
                <w:color w:val="000000"/>
                <w:sz w:val="24"/>
                <w:szCs w:val="24"/>
                <w:u w:val="none"/>
              </w:rPr>
            </w:pPr>
            <w:r>
              <w:rPr>
                <w:rFonts w:hint="eastAsia" w:hAnsi="楷体" w:eastAsia="楷体"/>
                <w:sz w:val="22"/>
              </w:rPr>
              <w:t>CN214556260U</w:t>
            </w:r>
          </w:p>
        </w:tc>
      </w:tr>
      <w:tr w14:paraId="567D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2AC7">
            <w:pPr>
              <w:snapToGrid w:val="0"/>
              <w:spacing w:line="240" w:lineRule="auto"/>
              <w:jc w:val="center"/>
              <w:rPr>
                <w:rFonts w:hint="eastAsia" w:ascii="宋体" w:hAnsi="宋体" w:eastAsia="宋体" w:cs="宋体"/>
                <w:i w:val="0"/>
                <w:iCs w:val="0"/>
                <w:color w:val="000000"/>
                <w:sz w:val="24"/>
                <w:szCs w:val="24"/>
                <w:u w:val="none"/>
              </w:rPr>
            </w:pPr>
            <w:r>
              <w:rPr>
                <w:rFonts w:hint="eastAsia" w:hAnsi="楷体" w:eastAsia="楷体" w:cs="Times New Roman"/>
                <w:sz w:val="22"/>
                <w:lang w:val="en-US" w:eastAsia="zh-CN"/>
              </w:rPr>
              <w:t>一种快速调整轧机轴向的调整装置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9FEB">
            <w:pPr>
              <w:snapToGrid w:val="0"/>
              <w:spacing w:line="240" w:lineRule="auto"/>
              <w:jc w:val="center"/>
              <w:rPr>
                <w:rFonts w:hint="eastAsia" w:ascii="宋体" w:hAnsi="宋体" w:eastAsia="宋体" w:cs="宋体"/>
                <w:i w:val="0"/>
                <w:iCs w:val="0"/>
                <w:color w:val="000000"/>
                <w:sz w:val="24"/>
                <w:szCs w:val="24"/>
                <w:u w:val="none"/>
              </w:rPr>
            </w:pPr>
            <w:r>
              <w:rPr>
                <w:rFonts w:hint="eastAsia" w:hAnsi="楷体" w:eastAsia="楷体" w:cs="Times New Roman"/>
                <w:sz w:val="22"/>
                <w:lang w:val="en-US" w:eastAsia="zh-CN"/>
              </w:rPr>
              <w:t>实用新型专利</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F363">
            <w:pPr>
              <w:snapToGrid w:val="0"/>
              <w:spacing w:line="240" w:lineRule="auto"/>
              <w:jc w:val="center"/>
              <w:rPr>
                <w:rFonts w:hint="eastAsia" w:ascii="宋体" w:hAnsi="宋体" w:eastAsia="宋体" w:cs="宋体"/>
                <w:i w:val="0"/>
                <w:iCs w:val="0"/>
                <w:color w:val="000000"/>
                <w:sz w:val="24"/>
                <w:szCs w:val="24"/>
                <w:u w:val="none"/>
              </w:rPr>
            </w:pPr>
            <w:r>
              <w:rPr>
                <w:rFonts w:hint="eastAsia" w:hAnsi="楷体" w:eastAsia="楷体"/>
                <w:sz w:val="22"/>
              </w:rPr>
              <w:t>CN213103783U</w:t>
            </w:r>
          </w:p>
        </w:tc>
      </w:tr>
      <w:tr w14:paraId="526F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6E0D">
            <w:pPr>
              <w:snapToGrid w:val="0"/>
              <w:spacing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hAnsi="楷体" w:eastAsia="楷体" w:cs="Times New Roman"/>
                <w:sz w:val="22"/>
                <w:lang w:val="en-US" w:eastAsia="zh-CN"/>
              </w:rPr>
              <w:t>一种快速高效的加工轧辊的定位装置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4353">
            <w:pPr>
              <w:snapToGrid w:val="0"/>
              <w:spacing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hAnsi="楷体" w:eastAsia="楷体" w:cs="Times New Roman"/>
                <w:sz w:val="22"/>
                <w:lang w:val="en-US" w:eastAsia="zh-CN"/>
              </w:rPr>
              <w:t>实用新型专利</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D119">
            <w:pPr>
              <w:snapToGrid w:val="0"/>
              <w:spacing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hAnsi="楷体" w:eastAsia="楷体"/>
                <w:color w:val="000000"/>
                <w:sz w:val="22"/>
              </w:rPr>
              <w:t>CN211102889U</w:t>
            </w:r>
          </w:p>
        </w:tc>
      </w:tr>
      <w:tr w14:paraId="677E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8A07">
            <w:pPr>
              <w:snapToGrid w:val="0"/>
              <w:spacing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hAnsi="楷体" w:eastAsia="楷体" w:cs="Times New Roman"/>
                <w:sz w:val="22"/>
                <w:lang w:val="en-US" w:eastAsia="zh-CN"/>
              </w:rPr>
              <w:t>一种右旋螺纹肋锚杆钢筋用轧辊加工精度的测量装置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2507">
            <w:pPr>
              <w:snapToGrid w:val="0"/>
              <w:spacing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hAnsi="楷体" w:eastAsia="楷体" w:cs="Times New Roman"/>
                <w:sz w:val="22"/>
                <w:lang w:val="en-US" w:eastAsia="zh-CN"/>
              </w:rPr>
              <w:t>实用新型专利</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450F">
            <w:pPr>
              <w:snapToGrid w:val="0"/>
              <w:spacing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hAnsi="楷体" w:eastAsia="楷体"/>
                <w:sz w:val="22"/>
              </w:rPr>
              <w:t>CN219977272U</w:t>
            </w:r>
          </w:p>
        </w:tc>
      </w:tr>
      <w:tr w14:paraId="1AF7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2219">
            <w:pPr>
              <w:snapToGrid w:val="0"/>
              <w:spacing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hAnsi="楷体" w:eastAsia="楷体" w:cs="Times New Roman"/>
                <w:sz w:val="22"/>
                <w:lang w:val="en-US" w:eastAsia="zh-CN"/>
              </w:rPr>
              <w:t>一种锚杆钢螺母组装件承载力系数检测装置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0D97">
            <w:pPr>
              <w:snapToGrid w:val="0"/>
              <w:spacing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hAnsi="楷体" w:eastAsia="楷体" w:cs="Times New Roman"/>
                <w:sz w:val="22"/>
                <w:lang w:val="en-US" w:eastAsia="zh-CN"/>
              </w:rPr>
              <w:t>实用新型专利</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C610">
            <w:pPr>
              <w:snapToGrid w:val="0"/>
              <w:spacing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hAnsi="楷体" w:eastAsia="楷体"/>
                <w:sz w:val="22"/>
              </w:rPr>
              <w:t>CN220982880U</w:t>
            </w:r>
          </w:p>
        </w:tc>
      </w:tr>
    </w:tbl>
    <w:p w14:paraId="42E59521">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主要完成人情况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田琰、张红旭、赵璟珠、朱嘉、秦帅、范文俊、王奇凯、李怡宏</w:t>
      </w:r>
    </w:p>
    <w:p w14:paraId="57888ED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主要完成单位及创新推广共享</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 xml:space="preserve">山西通才工贸有限公司、太原科技大学 </w:t>
      </w:r>
    </w:p>
    <w:p w14:paraId="6C9C2706">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完成人合作关系说明</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田琰：重点围绕合金成分优化、转炉、连铸、轧制工艺的优化与制订；在精炼工序、连铸工序、轧制工序和穿水冷却一体化轧制工艺及自动控制等全过程流程创新的研究。在合金元素优化、V 微合金化调控组织方面有贡献，开展了控扎控冷与组织、析出相、强韧性间关系研究。张红旭：重点围绕合金成分优化、转炉、连铸工艺的优化与制订；在夹杂物控制、连铸低倍控制、合金成分精确控制等生产过程控制研究，气体氮、氧等对高强锚杆钢筋冲击韧性的影响等进行研究。在合金元素优化、V 微合金化调控组织方面有贡献，开展了控扎控冷与组织、析出相、强韧性间关系研究。赵璟珠：重点围绕合金成分优化、轧制工艺的优化与制订，轧制工艺方案的实施及后续用户使用情况的跟踪；在合金元素优化、V 微合金化调控组织方面有贡献，加热工艺、轧制工艺、控轧控冷参数对钒的析出及高强钢筋强韧性的影响因素研究。朱嘉：重点围绕合金成分优化、转炉、连铸工艺的优化与制订，工艺方案的实施；在夹杂物控制、连铸低倍控制、合金成分精确控制等生产过程控制研究，气体氮、氧等对高强锚杆钢筋冲击韧性的影响等进行研究。秦帅：点围绕合金成分优化、轧制工艺的优化与制订，轧制工艺方案的实施；在夹杂物控制、连铸低倍控制、合金成分精确控制等生产过程控制研究，气体氮、氧等对高强锚杆钢筋冲击韧性的影响等进行研究。范文俊：重点围绕合金成分优化、微观组织稳定化控制以及结构和性能的关系开展研究，分析了 V 在锚杆钢中分布及对析出相的影响规律。研究了轧制道次、变形量与微观组织、强韧性间的内在联系；在合金元素优化、V 微合金化调控组织方面有贡献，开展了控扎控冷与组织、析出相、强韧性间关系研究。王奇凯：重点围绕对锚杆钢进行热模拟及耐蚀性研究，分析了不同元素含量及不用变形量下的相转变温度。研究了不同变形量下的耐蚀性；在合金元素优化、不同变形量下的热模拟研究及耐蚀性分析方面有贡献。李怡宏：重点围绕对锚杆钢进行热处理工艺研究，分析了不同热处理工艺下的微观组织及析出相。研究了正火、退火下的微观组织，及不同热轧工艺下的微观组织；在工艺优化方面有贡献。</w:t>
      </w:r>
    </w:p>
    <w:p w14:paraId="3E74C755">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项目名称：“钢焦化氢”一体化流程的经营驾驶舱开发与应用 </w:t>
      </w:r>
    </w:p>
    <w:p w14:paraId="4C7B8166">
      <w:pPr>
        <w:numPr>
          <w:ilvl w:val="0"/>
          <w:numId w:val="0"/>
        </w:numPr>
        <w:ind w:left="640" w:leftChars="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提名者及提名意见</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 xml:space="preserve">临汾市 进步类技术开发二等奖   </w:t>
      </w:r>
    </w:p>
    <w:p w14:paraId="780CC3A9">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项目简介</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该项目根据钢化联产企业能源高度耦合的特点进行了生产能源优化调度的升级完善，开发了能源动态平衡与调度模型，优化了能源系统结构，减少了煤气放散，达到了钢铁、化工产品优化生产的目的。解决了钢铁企业数据体量庞大、数据挖掘难的问题，将海量数据转化为经营能力，形成业务数据治理、反馈、提升的闭环。“钢焦化氢”一体化的产业流程，具有产业链长、能源介质调度复杂、生产连续性强不能中断等鲜明特征，经营驾驶舱对于“钢焦化氢”一体化的长流程企业提高经营效率、降低生产成本、提高经营利润方面，具有优势。</w:t>
      </w:r>
    </w:p>
    <w:p w14:paraId="5517E90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客观评价</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经山西省金属学会组织评价，该项目能够提高企业的经济效益，有明显的节能和降碳效果，示范意义显著，应用前景广阔。该项目技术达到国内领先水平。</w:t>
      </w:r>
    </w:p>
    <w:p w14:paraId="4CB32782">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推广应用情况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目前，“钢焦化氢”一体化流程的经营驾驶舱在晋南钢铁、立恒焦化、沃能化工、恒瑞昆等得到了应用，应用效果良好。</w:t>
      </w:r>
    </w:p>
    <w:p w14:paraId="4E0C416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主要知识产权证明目录</w:t>
      </w:r>
      <w:r>
        <w:rPr>
          <w:rFonts w:hint="eastAsia" w:ascii="仿宋_GB2312" w:hAnsi="仿宋_GB2312" w:eastAsia="仿宋_GB2312" w:cs="仿宋_GB2312"/>
          <w:b/>
          <w:bCs/>
          <w:sz w:val="32"/>
          <w:szCs w:val="32"/>
          <w:lang w:val="en-US"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129"/>
        <w:gridCol w:w="2312"/>
        <w:gridCol w:w="1863"/>
      </w:tblGrid>
      <w:tr w14:paraId="556F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14" w:type="dxa"/>
            <w:vAlign w:val="center"/>
          </w:tcPr>
          <w:p w14:paraId="1617BF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i w:val="0"/>
                <w:iCs w:val="0"/>
                <w:caps w:val="0"/>
                <w:spacing w:val="8"/>
                <w:sz w:val="28"/>
                <w:szCs w:val="28"/>
                <w:shd w:val="clear" w:fill="FFFFFF"/>
                <w:vertAlign w:val="baseline"/>
                <w:lang w:val="en-US" w:eastAsia="zh-CN"/>
              </w:rPr>
            </w:pPr>
            <w:r>
              <w:rPr>
                <w:rFonts w:hint="eastAsia" w:ascii="Times New Roman" w:hAnsi="Times New Roman" w:eastAsia="仿宋" w:cs="Times New Roman"/>
                <w:i w:val="0"/>
                <w:iCs w:val="0"/>
                <w:caps w:val="0"/>
                <w:spacing w:val="8"/>
                <w:sz w:val="28"/>
                <w:szCs w:val="28"/>
                <w:shd w:val="clear" w:fill="FFFFFF"/>
                <w:vertAlign w:val="baseline"/>
                <w:lang w:val="en-US" w:eastAsia="zh-CN"/>
              </w:rPr>
              <w:t>序号</w:t>
            </w:r>
          </w:p>
        </w:tc>
        <w:tc>
          <w:tcPr>
            <w:tcW w:w="3129" w:type="dxa"/>
            <w:vAlign w:val="center"/>
          </w:tcPr>
          <w:p w14:paraId="69A055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i w:val="0"/>
                <w:iCs w:val="0"/>
                <w:caps w:val="0"/>
                <w:spacing w:val="8"/>
                <w:sz w:val="28"/>
                <w:szCs w:val="28"/>
                <w:shd w:val="clear" w:fill="FFFFFF"/>
                <w:vertAlign w:val="baseline"/>
                <w:lang w:val="en-US" w:eastAsia="zh-CN"/>
              </w:rPr>
            </w:pPr>
            <w:r>
              <w:rPr>
                <w:rFonts w:hint="eastAsia" w:ascii="Times New Roman" w:hAnsi="Times New Roman" w:eastAsia="仿宋" w:cs="Times New Roman"/>
                <w:i w:val="0"/>
                <w:iCs w:val="0"/>
                <w:caps w:val="0"/>
                <w:spacing w:val="8"/>
                <w:sz w:val="28"/>
                <w:szCs w:val="28"/>
                <w:shd w:val="clear" w:fill="FFFFFF"/>
                <w:vertAlign w:val="baseline"/>
                <w:lang w:val="en-US" w:eastAsia="zh-CN"/>
              </w:rPr>
              <w:t>授权（申请）项目名称</w:t>
            </w:r>
          </w:p>
        </w:tc>
        <w:tc>
          <w:tcPr>
            <w:tcW w:w="2312" w:type="dxa"/>
            <w:vAlign w:val="center"/>
          </w:tcPr>
          <w:p w14:paraId="378A5B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i w:val="0"/>
                <w:iCs w:val="0"/>
                <w:caps w:val="0"/>
                <w:spacing w:val="8"/>
                <w:sz w:val="28"/>
                <w:szCs w:val="28"/>
                <w:shd w:val="clear" w:fill="FFFFFF"/>
                <w:vertAlign w:val="baseline"/>
                <w:lang w:val="en-US" w:eastAsia="zh-CN"/>
              </w:rPr>
            </w:pPr>
            <w:r>
              <w:rPr>
                <w:rFonts w:hint="eastAsia" w:ascii="Times New Roman" w:hAnsi="Times New Roman" w:eastAsia="仿宋" w:cs="Times New Roman"/>
                <w:i w:val="0"/>
                <w:iCs w:val="0"/>
                <w:caps w:val="0"/>
                <w:spacing w:val="8"/>
                <w:sz w:val="28"/>
                <w:szCs w:val="28"/>
                <w:shd w:val="clear" w:fill="FFFFFF"/>
                <w:vertAlign w:val="baseline"/>
                <w:lang w:val="en-US" w:eastAsia="zh-CN"/>
              </w:rPr>
              <w:t>知识产权类别</w:t>
            </w:r>
          </w:p>
        </w:tc>
        <w:tc>
          <w:tcPr>
            <w:tcW w:w="1863" w:type="dxa"/>
            <w:vAlign w:val="center"/>
          </w:tcPr>
          <w:p w14:paraId="0E4E27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i w:val="0"/>
                <w:iCs w:val="0"/>
                <w:caps w:val="0"/>
                <w:spacing w:val="8"/>
                <w:sz w:val="28"/>
                <w:szCs w:val="28"/>
                <w:shd w:val="clear" w:fill="FFFFFF"/>
                <w:vertAlign w:val="baseline"/>
                <w:lang w:val="en-US" w:eastAsia="zh-CN"/>
              </w:rPr>
            </w:pPr>
            <w:r>
              <w:rPr>
                <w:rFonts w:hint="eastAsia" w:ascii="Times New Roman" w:hAnsi="Times New Roman" w:eastAsia="仿宋" w:cs="Times New Roman"/>
                <w:i w:val="0"/>
                <w:iCs w:val="0"/>
                <w:caps w:val="0"/>
                <w:spacing w:val="8"/>
                <w:sz w:val="28"/>
                <w:szCs w:val="28"/>
                <w:shd w:val="clear" w:fill="FFFFFF"/>
                <w:vertAlign w:val="baseline"/>
                <w:lang w:val="en-US" w:eastAsia="zh-CN"/>
              </w:rPr>
              <w:t>授权号</w:t>
            </w:r>
          </w:p>
        </w:tc>
      </w:tr>
      <w:tr w14:paraId="1A11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014" w:type="dxa"/>
            <w:vAlign w:val="center"/>
          </w:tcPr>
          <w:p w14:paraId="7DA0D0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i w:val="0"/>
                <w:iCs w:val="0"/>
                <w:caps w:val="0"/>
                <w:spacing w:val="8"/>
                <w:sz w:val="28"/>
                <w:szCs w:val="28"/>
                <w:shd w:val="clear" w:fill="FFFFFF"/>
                <w:vertAlign w:val="baseline"/>
                <w:lang w:val="en-US" w:eastAsia="zh-CN"/>
              </w:rPr>
            </w:pPr>
            <w:r>
              <w:rPr>
                <w:rFonts w:hint="eastAsia" w:ascii="Times New Roman" w:hAnsi="Times New Roman" w:eastAsia="仿宋" w:cs="Times New Roman"/>
                <w:i w:val="0"/>
                <w:iCs w:val="0"/>
                <w:caps w:val="0"/>
                <w:spacing w:val="8"/>
                <w:sz w:val="28"/>
                <w:szCs w:val="28"/>
                <w:shd w:val="clear" w:fill="FFFFFF"/>
                <w:vertAlign w:val="baseline"/>
                <w:lang w:val="en-US" w:eastAsia="zh-CN"/>
              </w:rPr>
              <w:t>1</w:t>
            </w:r>
          </w:p>
        </w:tc>
        <w:tc>
          <w:tcPr>
            <w:tcW w:w="3129" w:type="dxa"/>
          </w:tcPr>
          <w:p w14:paraId="284F03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i w:val="0"/>
                <w:iCs w:val="0"/>
                <w:caps w:val="0"/>
                <w:spacing w:val="8"/>
                <w:sz w:val="28"/>
                <w:szCs w:val="28"/>
                <w:shd w:val="clear" w:fill="FFFFFF"/>
                <w:vertAlign w:val="baseline"/>
                <w:lang w:val="en-US" w:eastAsia="zh-CN"/>
              </w:rPr>
            </w:pPr>
            <w:r>
              <w:rPr>
                <w:rFonts w:hint="eastAsia" w:ascii="Times New Roman" w:hAnsi="Times New Roman" w:eastAsia="仿宋" w:cs="Times New Roman"/>
                <w:i w:val="0"/>
                <w:iCs w:val="0"/>
                <w:caps w:val="0"/>
                <w:spacing w:val="8"/>
                <w:sz w:val="28"/>
                <w:szCs w:val="28"/>
                <w:shd w:val="clear" w:fill="FFFFFF"/>
                <w:vertAlign w:val="baseline"/>
                <w:lang w:val="en-US" w:eastAsia="zh-CN"/>
              </w:rPr>
              <w:t>晋南集团钢化联产经营驾驶舱软件V1.0</w:t>
            </w:r>
          </w:p>
        </w:tc>
        <w:tc>
          <w:tcPr>
            <w:tcW w:w="2312" w:type="dxa"/>
          </w:tcPr>
          <w:p w14:paraId="5EB853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i w:val="0"/>
                <w:iCs w:val="0"/>
                <w:caps w:val="0"/>
                <w:spacing w:val="8"/>
                <w:sz w:val="28"/>
                <w:szCs w:val="28"/>
                <w:shd w:val="clear" w:fill="FFFFFF"/>
                <w:vertAlign w:val="baseline"/>
                <w:lang w:val="en-US" w:eastAsia="zh-CN"/>
              </w:rPr>
            </w:pPr>
            <w:r>
              <w:rPr>
                <w:rFonts w:hint="eastAsia" w:ascii="Times New Roman" w:hAnsi="Times New Roman" w:eastAsia="仿宋" w:cs="Times New Roman"/>
                <w:i w:val="0"/>
                <w:iCs w:val="0"/>
                <w:caps w:val="0"/>
                <w:spacing w:val="8"/>
                <w:sz w:val="28"/>
                <w:szCs w:val="28"/>
                <w:shd w:val="clear" w:fill="FFFFFF"/>
                <w:vertAlign w:val="baseline"/>
                <w:lang w:val="en-US" w:eastAsia="zh-CN"/>
              </w:rPr>
              <w:t>计算机软件著作权</w:t>
            </w:r>
          </w:p>
        </w:tc>
        <w:tc>
          <w:tcPr>
            <w:tcW w:w="1863" w:type="dxa"/>
          </w:tcPr>
          <w:p w14:paraId="3C9E35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i w:val="0"/>
                <w:iCs w:val="0"/>
                <w:caps w:val="0"/>
                <w:spacing w:val="8"/>
                <w:sz w:val="28"/>
                <w:szCs w:val="28"/>
                <w:shd w:val="clear" w:fill="FFFFFF"/>
                <w:vertAlign w:val="baseline"/>
                <w:lang w:val="en-US" w:eastAsia="zh-CN"/>
              </w:rPr>
            </w:pPr>
            <w:r>
              <w:rPr>
                <w:rFonts w:hint="eastAsia" w:ascii="Times New Roman" w:hAnsi="Times New Roman" w:eastAsia="仿宋" w:cs="Times New Roman"/>
                <w:i w:val="0"/>
                <w:iCs w:val="0"/>
                <w:caps w:val="0"/>
                <w:spacing w:val="8"/>
                <w:sz w:val="28"/>
                <w:szCs w:val="28"/>
                <w:shd w:val="clear" w:fill="FFFFFF"/>
                <w:vertAlign w:val="baseline"/>
                <w:lang w:val="en-US" w:eastAsia="zh-CN"/>
              </w:rPr>
              <w:t>2024SR1491997</w:t>
            </w:r>
          </w:p>
        </w:tc>
      </w:tr>
    </w:tbl>
    <w:p w14:paraId="43E44DE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主要完成人情况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薛志强、麻清泉、朱利、苗亚男、师少杰、冯捷、荀志伟、齐治畔</w:t>
      </w:r>
    </w:p>
    <w:p w14:paraId="0E45587E">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主要完成单位及创新推广共享</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山西晋南钢铁集团有限公司、上海钢软信息技术工程股份有限公司、山西沃能化工科技有限公司、山西立恒焦化有限公司、山西恒瑞昆新材料技术有限公司</w:t>
      </w:r>
    </w:p>
    <w:p w14:paraId="409156AF">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完成人合作关系说明</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薛志强是项目总负责人，负责项目实施和推进，统筹规划，全力推进“钢焦化氢”一体化流程的经营驾驶舱的开发；麻清泉作为项目骨干人员，负责经营驾驶舱平台的软件开发；朱利作为项目骨干人员，负责经营驾驶舱关键工序成本和技术指标模块的内容设计；苗亚男作为项目骨干人员，协助项目负责人按计划推进项目，负责“钢焦化氢”各个系统所有工序的关键控制指标的制定和管控内容更新；师少杰作为项目骨干人员，负责项目在沃能化工的落地实施；冯捷作为项目骨干人员，负责公辅降本管控模块的内容设计；荀志伟作为项目骨干人员，负责全集团库存精准管理的模型开发和早会系统自动生成系统的开发；齐治畔作为项目骨干人员，负责转炉关键工序成本、生产指标和技术指标模块的内容设计。</w:t>
      </w:r>
    </w:p>
    <w:p w14:paraId="15A5F6DB">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项目名称：智慧化煤层气田关键技术及规模化应用</w:t>
      </w:r>
    </w:p>
    <w:p w14:paraId="57A41BF4">
      <w:pPr>
        <w:numPr>
          <w:ilvl w:val="0"/>
          <w:numId w:val="0"/>
        </w:numPr>
        <w:ind w:left="640" w:leftChars="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提名者及提名意见</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临汾市  进步类成果转化二等奖</w:t>
      </w:r>
    </w:p>
    <w:p w14:paraId="01630B2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项目简介</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 xml:space="preserve">该项目围绕煤层气智慧化开发关键技术及规模化应用率先开展研究，取得如下创新成果：设计了“无人值守、远程控制”的智慧化煤层气开发方案；形成了“清洁、低碳、绿色”轻量级高效数据采集与信息感知的煤层气田智慧生产管理技术体系；研发了基于“端边云融合”的智慧化管理技术；开发了“分层管理、智能监控、高效处置”的煤层气全流程安全生产自动化管控系统MPCS。    </w:t>
      </w:r>
    </w:p>
    <w:p w14:paraId="4CFD910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客观评价</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以“风+光+储”清洁能源为动力，融合“管控一体”、“多元混合传输网络”等工业物联网最新技术，形成了“清洁、低碳、绿色”轻量级高效数据采集与信息感知的煤层气田智慧生产管理技术体系，提升了生产数据采集可靠性。本项目推动了煤层气智慧化管理水平，将传统劳动密集型生产变革升级为智慧管控模式，开创了煤层气生产全域、全过程数据管理与智能管控。</w:t>
      </w:r>
    </w:p>
    <w:p w14:paraId="79B8712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推广应用情况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 xml:space="preserve"> 本项目带动了临汾地区工业设备升级、劳动力市场兴旺，促进了城市治理体系升级发展，实现了企地互惠互利，共同发展；关键技术应用于山西、重庆、贵州等相关煤层气开发区块，带动了同行业技术进步。智慧化煤层气田高效管控模式实现了降本、增产、安全、高效的效果，打造了煤层气生产全流程自动化管控样板，为我国深部煤层气的智慧化开发起到引领示范作用。  </w:t>
      </w:r>
    </w:p>
    <w:p w14:paraId="49B4B4A5">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主要知识产权证明目录</w:t>
      </w:r>
      <w:r>
        <w:rPr>
          <w:rFonts w:hint="eastAsia" w:ascii="仿宋_GB2312" w:hAnsi="仿宋_GB2312" w:eastAsia="仿宋_GB2312" w:cs="仿宋_GB2312"/>
          <w:b/>
          <w:bCs/>
          <w:sz w:val="32"/>
          <w:szCs w:val="32"/>
          <w:lang w:val="en-US" w:eastAsia="zh-CN"/>
        </w:rPr>
        <w:t>:</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28"/>
        <w:gridCol w:w="2106"/>
        <w:gridCol w:w="2299"/>
      </w:tblGrid>
      <w:tr w14:paraId="4EC7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39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1BFD1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4"/>
                <w:szCs w:val="24"/>
                <w:u w:val="none"/>
                <w:lang w:val="en-US" w:eastAsia="zh-CN" w:bidi="ar"/>
              </w:rPr>
              <w:t>授权（申请）项目名称</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6058B5">
            <w:pPr>
              <w:keepNext w:val="0"/>
              <w:keepLines w:val="0"/>
              <w:widowControl/>
              <w:suppressLineNumbers w:val="0"/>
              <w:jc w:val="center"/>
              <w:textAlignment w:val="center"/>
              <w:rPr>
                <w:rFonts w:hint="eastAsia" w:ascii="宋体" w:hAnsi="宋体" w:eastAsia="宋体" w:cs="宋体"/>
                <w:b/>
                <w:bCs/>
                <w:color w:val="FF0000"/>
                <w:sz w:val="24"/>
                <w:szCs w:val="24"/>
              </w:rPr>
            </w:pPr>
            <w:r>
              <w:rPr>
                <w:rFonts w:hint="eastAsia" w:ascii="宋体" w:hAnsi="宋体" w:eastAsia="宋体" w:cs="宋体"/>
                <w:b/>
                <w:bCs/>
                <w:i w:val="0"/>
                <w:iCs w:val="0"/>
                <w:color w:val="000000"/>
                <w:kern w:val="0"/>
                <w:sz w:val="24"/>
                <w:szCs w:val="24"/>
                <w:u w:val="none"/>
                <w:lang w:val="en-US" w:eastAsia="zh-CN" w:bidi="ar"/>
              </w:rPr>
              <w:t>知识产权类别</w:t>
            </w:r>
          </w:p>
        </w:tc>
        <w:tc>
          <w:tcPr>
            <w:tcW w:w="22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4E40E6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4"/>
                <w:szCs w:val="24"/>
                <w:u w:val="none"/>
                <w:lang w:val="en-US" w:eastAsia="zh-CN" w:bidi="ar"/>
              </w:rPr>
              <w:t>授 权 号</w:t>
            </w:r>
          </w:p>
        </w:tc>
      </w:tr>
      <w:tr w14:paraId="4514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D2B657">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一种长距离有效支撑体积压裂装置</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CD606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发明专利</w:t>
            </w:r>
          </w:p>
        </w:tc>
        <w:tc>
          <w:tcPr>
            <w:tcW w:w="22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0E3F1C">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ZL</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2021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1055335.X</w:t>
            </w:r>
          </w:p>
        </w:tc>
      </w:tr>
      <w:tr w14:paraId="4355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9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8323F9">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一种多煤层合采防串压力自调节装置</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C00D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发明专利</w:t>
            </w:r>
          </w:p>
        </w:tc>
        <w:tc>
          <w:tcPr>
            <w:tcW w:w="22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DB0C4C">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ZL</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2021</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0672353.6</w:t>
            </w:r>
          </w:p>
        </w:tc>
      </w:tr>
      <w:tr w14:paraId="61CA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9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F2DD58">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离心分离与机械破碎式煤屑清理系统及其工作方法</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E502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发明专利</w:t>
            </w:r>
          </w:p>
        </w:tc>
        <w:tc>
          <w:tcPr>
            <w:tcW w:w="22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4A025B">
            <w:pPr>
              <w:pStyle w:val="2"/>
              <w:keepNext w:val="0"/>
              <w:keepLines w:val="0"/>
              <w:widowControl/>
              <w:suppressLineNumbers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ZL 2020 1 0743869.0</w:t>
            </w:r>
          </w:p>
        </w:tc>
      </w:tr>
      <w:tr w14:paraId="6687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9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081461">
            <w:pPr>
              <w:pStyle w:val="2"/>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color w:val="000000"/>
                <w:sz w:val="24"/>
                <w:szCs w:val="24"/>
              </w:rPr>
              <w:t>煤层气综合动态分析软件V1.0</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4536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计算机软件著作权</w:t>
            </w:r>
          </w:p>
        </w:tc>
        <w:tc>
          <w:tcPr>
            <w:tcW w:w="22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25533D">
            <w:pPr>
              <w:pStyle w:val="2"/>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color w:val="000000"/>
                <w:sz w:val="24"/>
                <w:szCs w:val="24"/>
              </w:rPr>
              <w:t>2019SR0039526</w:t>
            </w:r>
          </w:p>
        </w:tc>
      </w:tr>
      <w:tr w14:paraId="7EC3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9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2378FA">
            <w:pPr>
              <w:pStyle w:val="2"/>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color w:val="000000"/>
                <w:sz w:val="24"/>
                <w:szCs w:val="24"/>
              </w:rPr>
              <w:t>Oracle数据库恢复与备份软件V1.0</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A3120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计算机软件著作权</w:t>
            </w:r>
          </w:p>
        </w:tc>
        <w:tc>
          <w:tcPr>
            <w:tcW w:w="22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010414">
            <w:pPr>
              <w:pStyle w:val="2"/>
              <w:keepNext w:val="0"/>
              <w:keepLines w:val="0"/>
              <w:widowControl/>
              <w:suppressLineNumbers w:val="0"/>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rPr>
              <w:t>2019SR0040040</w:t>
            </w:r>
          </w:p>
        </w:tc>
      </w:tr>
      <w:tr w14:paraId="4DB2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9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DD69C4">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天然气物性参数计算软件V1.0</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FBDFE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计算机软件著作权</w:t>
            </w:r>
          </w:p>
        </w:tc>
        <w:tc>
          <w:tcPr>
            <w:tcW w:w="22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2FE784">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2024SR0882060</w:t>
            </w:r>
          </w:p>
        </w:tc>
      </w:tr>
      <w:tr w14:paraId="2E047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9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2FD9EB">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油气田IT运维管理系统[简称：油气田IT运维管理]V1.0</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C2D5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计算机软件著作权</w:t>
            </w:r>
          </w:p>
        </w:tc>
        <w:tc>
          <w:tcPr>
            <w:tcW w:w="22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23D76D">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2023SR1183324</w:t>
            </w:r>
          </w:p>
        </w:tc>
      </w:tr>
      <w:tr w14:paraId="17A4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295FE32">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一种皮带自动收紧器</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5CE6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实用新型专利</w:t>
            </w:r>
          </w:p>
        </w:tc>
        <w:tc>
          <w:tcPr>
            <w:tcW w:w="22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C18965">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ZL</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2022</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1922507.9</w:t>
            </w:r>
          </w:p>
        </w:tc>
      </w:tr>
      <w:tr w14:paraId="7D3D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1E8E9A">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一种气井过滤除水装置</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D74A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实用新型专利</w:t>
            </w:r>
          </w:p>
        </w:tc>
        <w:tc>
          <w:tcPr>
            <w:tcW w:w="22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C11AE0">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ZL</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2021</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2077937.7</w:t>
            </w:r>
          </w:p>
        </w:tc>
      </w:tr>
      <w:tr w14:paraId="6D77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2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69CD58">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一种节能电动混砂撬装置</w:t>
            </w:r>
          </w:p>
        </w:tc>
        <w:tc>
          <w:tcPr>
            <w:tcW w:w="210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B434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实用新型专利</w:t>
            </w:r>
          </w:p>
        </w:tc>
        <w:tc>
          <w:tcPr>
            <w:tcW w:w="22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CB8D94">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sz w:val="24"/>
                <w:szCs w:val="24"/>
              </w:rPr>
              <w:t>ZL</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2020</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2594637.1</w:t>
            </w:r>
          </w:p>
        </w:tc>
      </w:tr>
    </w:tbl>
    <w:p w14:paraId="5B76E8AA">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bCs/>
          <w:sz w:val="32"/>
          <w:szCs w:val="32"/>
          <w:lang w:val="en-US" w:eastAsia="zh-CN"/>
        </w:rPr>
      </w:pPr>
    </w:p>
    <w:p w14:paraId="5A7CAF1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主要完成人情况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 xml:space="preserve">刘晓、姚红生、秦学成、夏海帮、敬钟伟、陈贞龙、张玮、葛静涛 </w:t>
      </w:r>
    </w:p>
    <w:p w14:paraId="7286E58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主要完成单位及创新推广共享</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中国石油化工股份有限公司临汾煤层气分公司、中国石油化工股份有限公司华东油气分公司</w:t>
      </w:r>
    </w:p>
    <w:p w14:paraId="53D06B8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完成人合作关系说明</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刘晓，负责项目立项研究、方案审核、现场实施、组织运行、效果评价；姚红生，项目技术首席，负责项目立项研究、方案优化、技术攻关、组织运行以及效果评价；秦学成，组织本项目现场实施、组织运行以及方案优化；夏海帮，项目实施负责人，组织延川南智慧化煤层气田现场实施、统筹协调以及优化调整；敬钟伟，项目实施负责人，组织项目研发和审查；陈贞龙，组织项目研发和实施优化；张玮，主要成员，参与了项目的研发和现场实施工作；葛静涛，主要成员，参与了整个项目的研发和现场实施工作。</w:t>
      </w:r>
    </w:p>
    <w:p w14:paraId="6ACC6229">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jc w:val="left"/>
        <w:textAlignment w:val="auto"/>
        <w:rPr>
          <w:rFonts w:hint="eastAsia" w:ascii="仿宋_GB2312" w:hAnsi="仿宋_GB2312" w:eastAsia="仿宋_GB2312" w:cs="仿宋_GB2312"/>
          <w:b w:val="0"/>
          <w:bCs w:val="0"/>
          <w:sz w:val="32"/>
          <w:szCs w:val="32"/>
          <w:lang w:val="en-US" w:eastAsia="zh-CN"/>
        </w:rPr>
      </w:pPr>
    </w:p>
    <w:p w14:paraId="7E23BCC9">
      <w:pPr>
        <w:jc w:val="center"/>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B7CE4"/>
    <w:multiLevelType w:val="singleLevel"/>
    <w:tmpl w:val="F39B7CE4"/>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B0C6D"/>
    <w:rsid w:val="2ADB92D7"/>
    <w:rsid w:val="2E890292"/>
    <w:rsid w:val="3FF192F4"/>
    <w:rsid w:val="3FF767C7"/>
    <w:rsid w:val="5BFFE5BE"/>
    <w:rsid w:val="5CE799B8"/>
    <w:rsid w:val="72AB0C6D"/>
    <w:rsid w:val="7EAF2461"/>
    <w:rsid w:val="BFCEC378"/>
    <w:rsid w:val="FFF3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3139</Words>
  <Characters>3322</Characters>
  <Lines>0</Lines>
  <Paragraphs>0</Paragraphs>
  <TotalTime>50</TotalTime>
  <ScaleCrop>false</ScaleCrop>
  <LinksUpToDate>false</LinksUpToDate>
  <CharactersWithSpaces>3359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2024-12-21T09:22:00Z</dcterms:created>
  <dc:creator>user</dc:creator>
  <cp:lastModifiedBy>晃猿狈怕朴</cp:lastModifiedBy>
  <cp:lastPrinted>2024-12-23T17:13:00Z</cp:lastPrinted>
  <dcterms:modified xsi:type="dcterms:W3CDTF">2024-12-23T09:26:01Z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1F54D5299FF94C7FB93E434F7160D71B_12</vt:lpwstr>
  </property>
</Properties>
</file>