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rPr>
        <w:t>年度临汾市重点研发计划（农业与社会发展领域）项目申报指南</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jc w:val="left"/>
        <w:textAlignment w:val="auto"/>
        <w:rPr>
          <w:rFonts w:hint="eastAsia" w:ascii="仿宋" w:hAnsi="仿宋" w:eastAsia="仿宋" w:cs="仿宋"/>
          <w:color w:val="333333"/>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firstLine="640" w:firstLineChars="200"/>
        <w:jc w:val="left"/>
        <w:textAlignment w:val="auto"/>
        <w:rPr>
          <w:rFonts w:ascii="黑体" w:hAnsi="黑体" w:eastAsia="黑体" w:cs="仿宋"/>
          <w:color w:val="333333"/>
          <w:sz w:val="32"/>
          <w:szCs w:val="32"/>
        </w:rPr>
      </w:pPr>
      <w:r>
        <w:rPr>
          <w:rFonts w:hint="eastAsia" w:ascii="黑体" w:hAnsi="黑体" w:eastAsia="黑体" w:cs="仿宋"/>
          <w:color w:val="333333"/>
          <w:sz w:val="32"/>
          <w:szCs w:val="32"/>
        </w:rPr>
        <w:t>一、</w:t>
      </w:r>
      <w:r>
        <w:rPr>
          <w:rFonts w:hint="eastAsia" w:ascii="黑体" w:hAnsi="黑体" w:eastAsia="黑体" w:cs="楷体"/>
          <w:bCs/>
          <w:sz w:val="32"/>
          <w:szCs w:val="32"/>
          <w:shd w:val="clear" w:color="auto" w:fill="FFFFFF"/>
        </w:rPr>
        <w:t>支持范围</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firstLine="472" w:firstLineChars="147"/>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（一）农业</w:t>
      </w:r>
      <w:r>
        <w:rPr>
          <w:rFonts w:hint="eastAsia" w:ascii="楷体" w:hAnsi="楷体" w:eastAsia="楷体" w:cs="楷体"/>
          <w:b/>
          <w:bCs/>
          <w:sz w:val="32"/>
          <w:szCs w:val="32"/>
          <w:shd w:val="clear" w:color="auto" w:fill="FFFFFF"/>
          <w:lang w:eastAsia="zh-CN"/>
        </w:rPr>
        <w:t>技术</w:t>
      </w:r>
      <w:r>
        <w:rPr>
          <w:rFonts w:hint="eastAsia" w:ascii="楷体" w:hAnsi="楷体" w:eastAsia="楷体" w:cs="楷体"/>
          <w:b/>
          <w:bCs/>
          <w:sz w:val="32"/>
          <w:szCs w:val="32"/>
          <w:shd w:val="clear" w:color="auto" w:fill="FFFFFF"/>
        </w:rPr>
        <w:t>领域</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textAlignment w:val="auto"/>
        <w:rPr>
          <w:rFonts w:hint="eastAsia" w:ascii="仿宋_GB2312" w:hAnsi="仿宋_GB2312" w:eastAsia="仿宋_GB2312" w:cs="仿宋_GB2312"/>
          <w:color w:val="000000"/>
          <w:kern w:val="0"/>
          <w:sz w:val="32"/>
          <w:szCs w:val="32"/>
        </w:rPr>
      </w:pPr>
      <w:r>
        <w:rPr>
          <w:rFonts w:hint="default" w:ascii="仿宋_GB2312" w:hAnsi="仿宋_GB2312" w:eastAsia="仿宋_GB2312" w:cs="仿宋_GB2312"/>
          <w:b/>
          <w:bCs/>
          <w:color w:val="000000"/>
          <w:kern w:val="0"/>
          <w:sz w:val="32"/>
          <w:szCs w:val="32"/>
          <w:lang w:val="en"/>
        </w:rPr>
        <w:t>1</w:t>
      </w:r>
      <w:r>
        <w:rPr>
          <w:rFonts w:hint="eastAsia" w:ascii="仿宋_GB2312" w:hAnsi="仿宋_GB2312" w:eastAsia="仿宋_GB2312" w:cs="仿宋_GB2312"/>
          <w:b/>
          <w:bCs/>
          <w:color w:val="000000"/>
          <w:kern w:val="0"/>
          <w:sz w:val="32"/>
          <w:szCs w:val="32"/>
          <w:lang w:val="en" w:eastAsia="zh-CN"/>
        </w:rPr>
        <w:t>、</w:t>
      </w:r>
      <w:r>
        <w:rPr>
          <w:rFonts w:hint="eastAsia" w:ascii="仿宋_GB2312" w:hAnsi="仿宋_GB2312" w:eastAsia="仿宋_GB2312" w:cs="仿宋_GB2312"/>
          <w:b/>
          <w:bCs/>
          <w:color w:val="000000"/>
          <w:kern w:val="0"/>
          <w:sz w:val="32"/>
          <w:szCs w:val="32"/>
        </w:rPr>
        <w:t>种源与种业创新</w:t>
      </w:r>
      <w:r>
        <w:rPr>
          <w:rFonts w:hint="eastAsia" w:ascii="仿宋_GB2312" w:hAnsi="仿宋_GB2312" w:eastAsia="仿宋_GB2312" w:cs="仿宋_GB2312"/>
          <w:b/>
          <w:bCs/>
          <w:color w:val="000000"/>
          <w:kern w:val="0"/>
          <w:sz w:val="32"/>
          <w:szCs w:val="32"/>
          <w:lang w:eastAsia="zh-CN"/>
        </w:rPr>
        <w:t>方向。</w:t>
      </w:r>
      <w:r>
        <w:rPr>
          <w:rFonts w:hint="eastAsia" w:ascii="仿宋_GB2312" w:hAnsi="仿宋_GB2312" w:eastAsia="仿宋_GB2312" w:cs="仿宋_GB2312"/>
          <w:color w:val="000000"/>
          <w:kern w:val="0"/>
          <w:sz w:val="32"/>
          <w:szCs w:val="32"/>
        </w:rPr>
        <w:t>现代生物育种关键共性技术研发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特色种质资源挖掘与精准鉴定技术</w:t>
      </w:r>
      <w:r>
        <w:rPr>
          <w:rFonts w:hint="eastAsia" w:ascii="仿宋_GB2312" w:hAnsi="仿宋_GB2312" w:eastAsia="仿宋_GB2312" w:cs="仿宋_GB2312"/>
          <w:color w:val="000000"/>
          <w:kern w:val="0"/>
          <w:sz w:val="32"/>
          <w:szCs w:val="32"/>
          <w:lang w:eastAsia="zh-CN"/>
        </w:rPr>
        <w:t>研究；</w:t>
      </w:r>
      <w:r>
        <w:rPr>
          <w:rFonts w:hint="eastAsia" w:ascii="仿宋_GB2312" w:hAnsi="仿宋_GB2312" w:eastAsia="仿宋_GB2312" w:cs="仿宋_GB2312"/>
          <w:color w:val="000000"/>
          <w:kern w:val="0"/>
          <w:sz w:val="32"/>
          <w:szCs w:val="32"/>
        </w:rPr>
        <w:t>主粮作物</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杂粮作物</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经济作物</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畜禽</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新品种培育、保种育种、品种改良</w:t>
      </w:r>
      <w:r>
        <w:rPr>
          <w:rFonts w:hint="eastAsia" w:ascii="仿宋_GB2312" w:hAnsi="仿宋_GB2312" w:eastAsia="仿宋_GB2312" w:cs="仿宋_GB2312"/>
          <w:color w:val="000000"/>
          <w:kern w:val="0"/>
          <w:sz w:val="32"/>
          <w:szCs w:val="32"/>
          <w:lang w:eastAsia="zh-CN"/>
        </w:rPr>
        <w:t>；良种良法配套技术</w:t>
      </w:r>
      <w:r>
        <w:rPr>
          <w:rFonts w:hint="eastAsia" w:ascii="仿宋_GB2312" w:hAnsi="仿宋_GB2312" w:eastAsia="仿宋_GB2312" w:cs="仿宋_GB2312"/>
          <w:color w:val="000000"/>
          <w:kern w:val="0"/>
          <w:sz w:val="32"/>
          <w:szCs w:val="32"/>
        </w:rPr>
        <w:t>。</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2、有机旱作农业方向。</w:t>
      </w:r>
      <w:r>
        <w:rPr>
          <w:rFonts w:hint="eastAsia" w:ascii="仿宋_GB2312" w:hAnsi="仿宋_GB2312" w:eastAsia="仿宋_GB2312" w:cs="仿宋_GB2312"/>
          <w:color w:val="000000"/>
          <w:kern w:val="0"/>
          <w:sz w:val="32"/>
          <w:szCs w:val="32"/>
        </w:rPr>
        <w:t>抗旱节水生化制剂开发与应用；有机旱作特色农业绿色栽培技术研发；有机旱作特色农业绿色生产关键技术研发；有机旱作农艺农机配套技术研究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有机旱作农业技术集成示范</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3、农产品精深加工方向。</w:t>
      </w:r>
      <w:r>
        <w:rPr>
          <w:rFonts w:hint="eastAsia" w:ascii="仿宋_GB2312" w:hAnsi="仿宋_GB2312" w:eastAsia="仿宋_GB2312" w:cs="仿宋_GB2312"/>
          <w:color w:val="000000"/>
          <w:kern w:val="0"/>
          <w:sz w:val="32"/>
          <w:szCs w:val="32"/>
        </w:rPr>
        <w:t>果品、饮品</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十大产业集群农产品精深加工技术研发；</w:t>
      </w:r>
      <w:r>
        <w:rPr>
          <w:rFonts w:hint="eastAsia" w:ascii="仿宋_GB2312" w:hAnsi="仿宋_GB2312" w:eastAsia="仿宋_GB2312" w:cs="仿宋_GB2312"/>
          <w:b w:val="0"/>
          <w:bCs w:val="0"/>
          <w:color w:val="000000"/>
          <w:kern w:val="0"/>
          <w:sz w:val="32"/>
          <w:szCs w:val="32"/>
        </w:rPr>
        <w:t>农产品贮藏保鲜研究</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color w:val="000000"/>
          <w:kern w:val="0"/>
          <w:sz w:val="32"/>
          <w:szCs w:val="32"/>
          <w:lang w:eastAsia="zh-CN"/>
        </w:rPr>
        <w:t>道地中药材种质资源保护与开发、优质品种选育等关键技术攻关及产品多样化研发。</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4、</w:t>
      </w:r>
      <w:r>
        <w:rPr>
          <w:rFonts w:hint="eastAsia" w:ascii="仿宋_GB2312" w:hAnsi="仿宋_GB2312" w:eastAsia="仿宋_GB2312" w:cs="仿宋_GB2312"/>
          <w:b/>
          <w:bCs/>
          <w:color w:val="000000"/>
          <w:kern w:val="0"/>
          <w:sz w:val="32"/>
          <w:szCs w:val="32"/>
          <w:lang w:eastAsia="zh-CN"/>
        </w:rPr>
        <w:t>西山果业高质量发展方向。</w:t>
      </w:r>
      <w:r>
        <w:rPr>
          <w:rFonts w:hint="eastAsia" w:ascii="仿宋_GB2312" w:hAnsi="仿宋_GB2312" w:eastAsia="仿宋_GB2312" w:cs="仿宋_GB2312"/>
          <w:b w:val="0"/>
          <w:bCs w:val="0"/>
          <w:color w:val="000000"/>
          <w:kern w:val="0"/>
          <w:sz w:val="32"/>
          <w:szCs w:val="32"/>
          <w:lang w:eastAsia="zh-CN"/>
        </w:rPr>
        <w:t>西山果业</w:t>
      </w:r>
      <w:r>
        <w:rPr>
          <w:rFonts w:hint="eastAsia" w:ascii="仿宋_GB2312" w:hAnsi="仿宋_GB2312" w:eastAsia="仿宋_GB2312" w:cs="仿宋_GB2312"/>
          <w:color w:val="000000"/>
          <w:kern w:val="0"/>
          <w:sz w:val="32"/>
          <w:szCs w:val="32"/>
          <w:lang w:eastAsia="zh-CN"/>
        </w:rPr>
        <w:t>“品种改良、品质提升、品牌创建”果业“三品”提升技术研究。</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2"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5、其它国家、省、市重要政策支持的方向。</w:t>
      </w:r>
      <w:r>
        <w:rPr>
          <w:rFonts w:hint="eastAsia" w:ascii="仿宋_GB2312" w:hAnsi="仿宋_GB2312" w:eastAsia="仿宋_GB2312" w:cs="仿宋_GB2312"/>
          <w:color w:val="000000"/>
          <w:kern w:val="0"/>
          <w:sz w:val="32"/>
          <w:szCs w:val="32"/>
        </w:rPr>
        <w:t>在粮食安全、农机装备、</w:t>
      </w:r>
      <w:r>
        <w:rPr>
          <w:rFonts w:hint="eastAsia" w:ascii="仿宋_GB2312" w:hAnsi="仿宋_GB2312" w:eastAsia="仿宋_GB2312" w:cs="仿宋_GB2312"/>
          <w:color w:val="000000"/>
          <w:kern w:val="0"/>
          <w:sz w:val="32"/>
          <w:szCs w:val="32"/>
          <w:lang w:eastAsia="zh-CN"/>
        </w:rPr>
        <w:t>特色种植业</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特色养殖业</w:t>
      </w:r>
      <w:r>
        <w:rPr>
          <w:rFonts w:hint="eastAsia" w:ascii="仿宋_GB2312" w:hAnsi="仿宋_GB2312" w:eastAsia="仿宋_GB2312" w:cs="仿宋_GB2312"/>
          <w:color w:val="000000"/>
          <w:kern w:val="0"/>
          <w:sz w:val="32"/>
          <w:szCs w:val="32"/>
        </w:rPr>
        <w:t>、智慧农业、数字农业、乡村振兴等重要政策支持的方向开展研究。</w:t>
      </w:r>
    </w:p>
    <w:p>
      <w:pPr>
        <w:keepNext w:val="0"/>
        <w:keepLines w:val="0"/>
        <w:pageBreakBefore w:val="0"/>
        <w:widowControl w:val="0"/>
        <w:kinsoku/>
        <w:wordWrap/>
        <w:overflowPunct/>
        <w:topLinePunct w:val="0"/>
        <w:autoSpaceDE/>
        <w:bidi w:val="0"/>
        <w:adjustRightInd/>
        <w:snapToGrid/>
        <w:spacing w:line="560" w:lineRule="exact"/>
        <w:ind w:left="0" w:leftChars="0" w:firstLine="629" w:firstLineChars="196"/>
        <w:textAlignment w:val="auto"/>
        <w:rPr>
          <w:rFonts w:hint="eastAsia" w:ascii="楷体" w:hAnsi="楷体" w:eastAsia="楷体" w:cs="楷体"/>
          <w:b/>
          <w:color w:val="000000"/>
          <w:kern w:val="0"/>
          <w:sz w:val="32"/>
          <w:szCs w:val="32"/>
        </w:rPr>
      </w:pPr>
      <w:r>
        <w:rPr>
          <w:rFonts w:hint="eastAsia" w:ascii="楷体" w:hAnsi="楷体" w:eastAsia="楷体" w:cs="楷体"/>
          <w:b/>
          <w:bCs/>
          <w:sz w:val="32"/>
          <w:szCs w:val="32"/>
          <w:shd w:val="clear" w:color="auto" w:fill="FFFFFF"/>
        </w:rPr>
        <w:t>（二）</w:t>
      </w:r>
      <w:r>
        <w:rPr>
          <w:rFonts w:hint="eastAsia" w:ascii="楷体" w:hAnsi="楷体" w:eastAsia="楷体" w:cs="楷体"/>
          <w:b/>
          <w:color w:val="000000"/>
          <w:kern w:val="0"/>
          <w:sz w:val="32"/>
          <w:szCs w:val="32"/>
        </w:rPr>
        <w:t>社会发展</w:t>
      </w:r>
      <w:r>
        <w:rPr>
          <w:rFonts w:hint="eastAsia" w:ascii="楷体" w:hAnsi="楷体" w:eastAsia="楷体" w:cs="楷体"/>
          <w:b/>
          <w:color w:val="000000"/>
          <w:kern w:val="0"/>
          <w:sz w:val="32"/>
          <w:szCs w:val="32"/>
          <w:lang w:eastAsia="zh-CN"/>
        </w:rPr>
        <w:t>技术</w:t>
      </w:r>
      <w:r>
        <w:rPr>
          <w:rFonts w:hint="eastAsia" w:ascii="楷体" w:hAnsi="楷体" w:eastAsia="楷体" w:cs="楷体"/>
          <w:b/>
          <w:color w:val="000000"/>
          <w:kern w:val="0"/>
          <w:sz w:val="32"/>
          <w:szCs w:val="32"/>
        </w:rPr>
        <w:t>领域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1、</w:t>
      </w:r>
      <w:r>
        <w:rPr>
          <w:rFonts w:hint="eastAsia" w:ascii="仿宋_GB2312" w:hAnsi="仿宋_GB2312" w:eastAsia="仿宋_GB2312" w:cs="仿宋_GB2312"/>
          <w:b/>
          <w:bCs/>
          <w:color w:val="000000"/>
          <w:kern w:val="0"/>
          <w:sz w:val="32"/>
          <w:szCs w:val="32"/>
        </w:rPr>
        <w:t>生态环境</w:t>
      </w:r>
      <w:r>
        <w:rPr>
          <w:rFonts w:hint="eastAsia" w:ascii="仿宋_GB2312" w:hAnsi="仿宋_GB2312" w:eastAsia="仿宋_GB2312" w:cs="仿宋_GB2312"/>
          <w:b/>
          <w:bCs/>
          <w:color w:val="000000"/>
          <w:kern w:val="0"/>
          <w:sz w:val="32"/>
          <w:szCs w:val="32"/>
          <w:lang w:eastAsia="zh-CN"/>
        </w:rPr>
        <w:t>领域。</w:t>
      </w:r>
      <w:r>
        <w:rPr>
          <w:rFonts w:hint="eastAsia" w:ascii="仿宋_GB2312" w:hAnsi="仿宋_GB2312" w:eastAsia="仿宋_GB2312" w:cs="仿宋_GB2312"/>
          <w:color w:val="000000"/>
          <w:kern w:val="0"/>
          <w:sz w:val="32"/>
          <w:szCs w:val="32"/>
          <w:lang w:eastAsia="zh-CN"/>
        </w:rPr>
        <w:t>水污染防治、土壤污染防治、大气污染防治和生态修复与治理等关键技术攻关；适应气候变化技术研发；</w:t>
      </w:r>
      <w:r>
        <w:rPr>
          <w:rFonts w:hint="eastAsia" w:ascii="仿宋_GB2312" w:hAnsi="仿宋_GB2312" w:eastAsia="仿宋_GB2312" w:cs="仿宋_GB2312"/>
          <w:b w:val="0"/>
          <w:bCs w:val="0"/>
          <w:color w:val="000000"/>
          <w:kern w:val="0"/>
          <w:sz w:val="32"/>
          <w:szCs w:val="32"/>
          <w:lang w:eastAsia="zh-CN"/>
        </w:rPr>
        <w:t>塑料污染治理技术与设备的研发与应用；生活垃圾分类处理技术研发；节水技术研究；新污染物治理研究；噪声污染防治技术研究；清洁生产技术研究；节能环保技术研究。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color w:val="auto"/>
          <w:kern w:val="0"/>
          <w:sz w:val="32"/>
          <w:szCs w:val="32"/>
          <w:highlight w:val="yellow"/>
          <w:lang w:eastAsia="zh-CN"/>
        </w:rPr>
      </w:pPr>
      <w:r>
        <w:rPr>
          <w:rFonts w:hint="eastAsia" w:ascii="仿宋_GB2312" w:hAnsi="仿宋_GB2312" w:eastAsia="仿宋_GB2312" w:cs="仿宋_GB2312"/>
          <w:b/>
          <w:bCs/>
          <w:color w:val="000000"/>
          <w:kern w:val="0"/>
          <w:sz w:val="32"/>
          <w:szCs w:val="32"/>
          <w:lang w:val="en-US" w:eastAsia="zh-CN"/>
        </w:rPr>
        <w:t>2</w:t>
      </w:r>
      <w:r>
        <w:rPr>
          <w:rFonts w:hint="eastAsia" w:ascii="仿宋_GB2312" w:hAnsi="仿宋_GB2312" w:eastAsia="仿宋_GB2312" w:cs="仿宋_GB2312"/>
          <w:b/>
          <w:bCs/>
          <w:color w:val="000000"/>
          <w:kern w:val="0"/>
          <w:sz w:val="32"/>
          <w:szCs w:val="32"/>
          <w:lang w:eastAsia="zh-CN"/>
        </w:rPr>
        <w:t>、生物医药和大健康领域。</w:t>
      </w:r>
      <w:r>
        <w:rPr>
          <w:rFonts w:hint="eastAsia" w:ascii="仿宋_GB2312" w:hAnsi="仿宋_GB2312" w:eastAsia="仿宋_GB2312" w:cs="仿宋_GB2312"/>
          <w:color w:val="000000"/>
          <w:sz w:val="32"/>
          <w:szCs w:val="32"/>
        </w:rPr>
        <w:t>地方病、常见病、多发病、</w:t>
      </w:r>
      <w:r>
        <w:rPr>
          <w:rFonts w:hint="eastAsia" w:ascii="仿宋_GB2312" w:hAnsi="仿宋_GB2312" w:eastAsia="仿宋_GB2312" w:cs="仿宋_GB2312"/>
          <w:color w:val="000000"/>
          <w:kern w:val="0"/>
          <w:sz w:val="32"/>
          <w:szCs w:val="32"/>
        </w:rPr>
        <w:t>职业病、</w:t>
      </w:r>
      <w:r>
        <w:rPr>
          <w:rFonts w:hint="eastAsia" w:ascii="仿宋_GB2312" w:hAnsi="仿宋_GB2312" w:eastAsia="仿宋_GB2312" w:cs="仿宋_GB2312"/>
          <w:color w:val="000000"/>
          <w:sz w:val="32"/>
          <w:szCs w:val="32"/>
        </w:rPr>
        <w:t>慢性病</w:t>
      </w:r>
      <w:r>
        <w:rPr>
          <w:rFonts w:hint="eastAsia" w:ascii="仿宋_GB2312" w:hAnsi="仿宋_GB2312" w:eastAsia="仿宋_GB2312" w:cs="仿宋_GB2312"/>
          <w:color w:val="000000"/>
          <w:kern w:val="0"/>
          <w:sz w:val="32"/>
          <w:szCs w:val="32"/>
        </w:rPr>
        <w:t>及</w:t>
      </w:r>
      <w:r>
        <w:rPr>
          <w:rFonts w:hint="eastAsia" w:ascii="仿宋_GB2312" w:hAnsi="仿宋_GB2312" w:eastAsia="仿宋_GB2312" w:cs="仿宋_GB2312"/>
          <w:color w:val="000000"/>
          <w:kern w:val="0"/>
          <w:sz w:val="32"/>
          <w:szCs w:val="32"/>
          <w:lang w:eastAsia="zh-CN"/>
        </w:rPr>
        <w:t>传染病</w:t>
      </w:r>
      <w:r>
        <w:rPr>
          <w:rFonts w:hint="eastAsia" w:ascii="仿宋_GB2312" w:hAnsi="仿宋_GB2312" w:eastAsia="仿宋_GB2312" w:cs="仿宋_GB2312"/>
          <w:color w:val="000000"/>
          <w:sz w:val="32"/>
          <w:szCs w:val="32"/>
        </w:rPr>
        <w:t>的预防、检测、诊疗技术研究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eastAsia="zh-CN"/>
        </w:rPr>
        <w:t>生物药新药研发；化学药新药研发及一致性评价；医疗器械与设备开发；重大疫情和公共卫生关键技术应用研究；主动健康和老龄化科技应对产品研发；</w:t>
      </w:r>
      <w:r>
        <w:rPr>
          <w:rFonts w:hint="eastAsia" w:ascii="仿宋_GB2312" w:hAnsi="仿宋_GB2312" w:eastAsia="仿宋_GB2312" w:cs="仿宋_GB2312"/>
          <w:color w:val="000000"/>
          <w:kern w:val="0"/>
          <w:sz w:val="32"/>
          <w:szCs w:val="32"/>
        </w:rPr>
        <w:t>新生儿出生缺陷的预防与干预新技术研发与应用；儿童青少年近视防控信息系统开发利用</w:t>
      </w:r>
      <w:r>
        <w:rPr>
          <w:rFonts w:hint="default" w:ascii="仿宋_GB2312" w:hAnsi="仿宋_GB2312" w:eastAsia="仿宋_GB2312" w:cs="仿宋_GB2312"/>
          <w:color w:val="000000"/>
          <w:kern w:val="0"/>
          <w:sz w:val="32"/>
          <w:szCs w:val="32"/>
          <w:lang w:val="en"/>
        </w:rPr>
        <w:t>;</w:t>
      </w:r>
      <w:r>
        <w:rPr>
          <w:rFonts w:hint="eastAsia" w:ascii="仿宋_GB2312" w:hAnsi="仿宋_GB2312" w:eastAsia="仿宋_GB2312" w:cs="仿宋_GB2312"/>
          <w:color w:val="auto"/>
          <w:kern w:val="0"/>
          <w:sz w:val="32"/>
          <w:szCs w:val="32"/>
          <w:highlight w:val="none"/>
          <w:lang w:eastAsia="zh-CN"/>
        </w:rPr>
        <w:t>面向临床医疗、公共卫生实践，能够促进技术进步、提高临床诊疗技术和重大疾病防治水平的应用研究。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中医药防治重大传染病研究；中医药治疗重大疑难病研究；中医治未病研究；中药制剂和中药饮片炮制规范研究；</w:t>
      </w:r>
      <w:r>
        <w:rPr>
          <w:rFonts w:hint="eastAsia" w:ascii="仿宋_GB2312" w:hAnsi="仿宋_GB2312" w:eastAsia="仿宋_GB2312" w:cs="仿宋_GB2312"/>
          <w:color w:val="000000"/>
          <w:kern w:val="0"/>
          <w:sz w:val="32"/>
          <w:szCs w:val="32"/>
          <w:lang w:eastAsia="zh-CN"/>
        </w:rPr>
        <w:t>中药新药（含古代经典名方、医疗机构中药制剂等）研发；名优中成药二次开发；中医诊疗与康复设备研发；中药制剂和中药饮片炮制规范研发；</w:t>
      </w:r>
      <w:r>
        <w:rPr>
          <w:rFonts w:hint="eastAsia" w:ascii="仿宋_GB2312" w:hAnsi="仿宋_GB2312" w:eastAsia="仿宋_GB2312" w:cs="仿宋_GB2312"/>
          <w:b w:val="0"/>
          <w:bCs w:val="0"/>
          <w:color w:val="000000"/>
          <w:kern w:val="0"/>
          <w:sz w:val="32"/>
          <w:szCs w:val="32"/>
          <w:lang w:val="en-US" w:eastAsia="zh-CN"/>
        </w:rPr>
        <w:t>保健食品、功能食品、日用品及化妆品等中药大健康产品开发。</w:t>
      </w:r>
    </w:p>
    <w:p>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重点支持心脑血管疾病防治、癌症防治关键技术攻关。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kern w:val="0"/>
          <w:sz w:val="32"/>
          <w:szCs w:val="32"/>
          <w:lang w:val="en-US" w:eastAsia="zh-CN"/>
        </w:rPr>
        <w:t>3、社会事业领域。</w:t>
      </w:r>
      <w:r>
        <w:rPr>
          <w:rFonts w:hint="eastAsia" w:ascii="仿宋_GB2312" w:hAnsi="仿宋_GB2312" w:eastAsia="仿宋_GB2312" w:cs="仿宋_GB2312"/>
          <w:color w:val="000000"/>
          <w:kern w:val="0"/>
          <w:sz w:val="32"/>
          <w:szCs w:val="32"/>
          <w:lang w:eastAsia="zh-CN"/>
        </w:rPr>
        <w:t>食品安全检测、控制和监测等技术与设备的研发和应用；</w:t>
      </w:r>
      <w:r>
        <w:rPr>
          <w:rFonts w:hint="eastAsia" w:ascii="仿宋_GB2312" w:hAnsi="仿宋_GB2312" w:eastAsia="仿宋_GB2312" w:cs="仿宋_GB2312"/>
          <w:b w:val="0"/>
          <w:bCs w:val="0"/>
          <w:color w:val="000000"/>
          <w:kern w:val="0"/>
          <w:sz w:val="32"/>
          <w:szCs w:val="32"/>
          <w:lang w:val="en-US" w:eastAsia="zh-CN"/>
        </w:rPr>
        <w:t>文物保护利用、文化旅游、全民健身、健康养老、</w:t>
      </w:r>
      <w:r>
        <w:rPr>
          <w:rFonts w:hint="eastAsia" w:ascii="仿宋_GB2312" w:hAnsi="仿宋_GB2312" w:eastAsia="仿宋_GB2312" w:cs="仿宋_GB2312"/>
          <w:b w:val="0"/>
          <w:bCs w:val="0"/>
          <w:color w:val="000000"/>
          <w:kern w:val="0"/>
          <w:sz w:val="32"/>
          <w:szCs w:val="32"/>
          <w:highlight w:val="none"/>
          <w:lang w:val="en-US" w:eastAsia="zh-CN"/>
        </w:rPr>
        <w:t>妇女儿童身心健康、残疾人康复、智慧城市建设、海绵城市建设、</w:t>
      </w:r>
      <w:r>
        <w:rPr>
          <w:rFonts w:hint="eastAsia" w:ascii="仿宋_GB2312" w:hAnsi="仿宋_GB2312" w:eastAsia="仿宋_GB2312" w:cs="仿宋_GB2312"/>
          <w:b w:val="0"/>
          <w:bCs w:val="0"/>
          <w:color w:val="auto"/>
          <w:kern w:val="0"/>
          <w:sz w:val="32"/>
          <w:szCs w:val="32"/>
          <w:highlight w:val="none"/>
          <w:lang w:val="en-US" w:eastAsia="zh-CN"/>
        </w:rPr>
        <w:t>森林草原防灭火、</w:t>
      </w:r>
      <w:r>
        <w:rPr>
          <w:rFonts w:hint="eastAsia" w:ascii="仿宋_GB2312" w:hAnsi="仿宋_GB2312" w:eastAsia="仿宋_GB2312" w:cs="仿宋_GB2312"/>
          <w:color w:val="000000"/>
          <w:kern w:val="0"/>
          <w:sz w:val="32"/>
          <w:szCs w:val="32"/>
          <w:lang w:eastAsia="zh-CN"/>
        </w:rPr>
        <w:t>生产安全、消防安全、重大自然灾害防灾减灾救灾、人工影响天气、信息安全、交通安全、药品安全、新型毒品鉴别及防治</w:t>
      </w:r>
      <w:r>
        <w:rPr>
          <w:rFonts w:hint="eastAsia" w:ascii="仿宋_GB2312" w:hAnsi="仿宋_GB2312" w:eastAsia="仿宋_GB2312" w:cs="仿宋_GB2312"/>
          <w:b w:val="0"/>
          <w:bCs w:val="0"/>
          <w:color w:val="000000"/>
          <w:kern w:val="0"/>
          <w:sz w:val="32"/>
          <w:szCs w:val="32"/>
          <w:lang w:val="en-US" w:eastAsia="zh-CN"/>
        </w:rPr>
        <w:t>等民生领域、社会保障领域、公共服务领域相关技术及产品的研发与应用。</w:t>
      </w:r>
    </w:p>
    <w:p>
      <w:pPr>
        <w:pStyle w:val="3"/>
        <w:pageBreakBefore w:val="0"/>
        <w:widowControl w:val="0"/>
        <w:numPr>
          <w:ilvl w:val="0"/>
          <w:numId w:val="0"/>
        </w:numPr>
        <w:kinsoku/>
        <w:overflowPunct/>
        <w:topLinePunct w:val="0"/>
        <w:autoSpaceDE/>
        <w:autoSpaceDN/>
        <w:bidi w:val="0"/>
        <w:snapToGrid/>
        <w:spacing w:before="0" w:after="0" w:line="560" w:lineRule="exact"/>
        <w:ind w:leftChars="0"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二、申报要求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rPr>
        <w:t>农业领域申报单位为企业的须是市级及以上农业重点龙头企业</w:t>
      </w:r>
      <w:r>
        <w:rPr>
          <w:rFonts w:hint="eastAsia" w:ascii="仿宋_GB2312" w:hAnsi="Calibri" w:eastAsia="仿宋_GB2312" w:cs="仿宋_GB2312"/>
          <w:bCs/>
          <w:sz w:val="32"/>
          <w:szCs w:val="32"/>
          <w:shd w:val="clear" w:color="auto" w:fill="FFFFFF"/>
          <w:lang w:val="en-US" w:eastAsia="zh-CN"/>
        </w:rPr>
        <w:t>或省级</w:t>
      </w:r>
      <w:r>
        <w:rPr>
          <w:rFonts w:hint="eastAsia" w:ascii="仿宋_GB2312" w:eastAsia="仿宋_GB2312" w:cs="仿宋_GB2312"/>
          <w:bCs/>
          <w:sz w:val="32"/>
          <w:szCs w:val="32"/>
          <w:shd w:val="clear" w:color="auto" w:fill="FFFFFF"/>
          <w:lang w:val="en-US" w:eastAsia="zh-CN"/>
        </w:rPr>
        <w:t>及以上农民</w:t>
      </w:r>
      <w:r>
        <w:rPr>
          <w:rFonts w:hint="eastAsia" w:ascii="仿宋_GB2312" w:hAnsi="Calibri" w:eastAsia="仿宋_GB2312" w:cs="仿宋_GB2312"/>
          <w:bCs/>
          <w:sz w:val="32"/>
          <w:szCs w:val="32"/>
          <w:shd w:val="clear" w:color="auto" w:fill="FFFFFF"/>
          <w:lang w:val="en-US" w:eastAsia="zh-CN"/>
        </w:rPr>
        <w:t>合作社</w:t>
      </w:r>
      <w:r>
        <w:rPr>
          <w:rFonts w:hint="eastAsia" w:ascii="仿宋_GB2312" w:eastAsia="仿宋_GB2312" w:cs="仿宋_GB2312"/>
          <w:bCs/>
          <w:sz w:val="32"/>
          <w:szCs w:val="32"/>
          <w:shd w:val="clear" w:color="auto" w:fill="FFFFFF"/>
          <w:lang w:val="en-US" w:eastAsia="zh-CN"/>
        </w:rPr>
        <w:t>示范社</w:t>
      </w:r>
      <w:r>
        <w:rPr>
          <w:rFonts w:hint="eastAsia" w:ascii="仿宋_GB2312" w:hAnsi="仿宋_GB2312" w:eastAsia="仿宋_GB2312" w:cs="仿宋_GB2312"/>
          <w:b w:val="0"/>
          <w:bCs w:val="0"/>
          <w:color w:val="000000"/>
          <w:kern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rPr>
        <w:t>生物医药与大健康领域申报单位和项目参与人应遵守科研伦理准则，遵守人类遗传资源管理相关法规和病原微生物实验室生物安全管理相关规定；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 xml:space="preserve">    3、项目申报预算编制要合理真实，支出结构科学，使用范围合规，杜绝虚报。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bidi="ar-SA"/>
        </w:rPr>
        <w:t>三、</w:t>
      </w:r>
      <w:r>
        <w:rPr>
          <w:rFonts w:hint="eastAsia" w:ascii="黑体" w:hAnsi="黑体" w:eastAsia="黑体" w:cs="黑体"/>
          <w:b w:val="0"/>
          <w:bCs w:val="0"/>
          <w:color w:val="000000"/>
          <w:kern w:val="0"/>
          <w:sz w:val="32"/>
          <w:szCs w:val="32"/>
          <w:lang w:val="en-US" w:eastAsia="zh-CN"/>
        </w:rPr>
        <w:t>申报材料</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《临汾市重点研发计划项目申报书》</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项目可行性研究报告</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5年</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日以后出具的</w:t>
      </w:r>
      <w:r>
        <w:rPr>
          <w:rFonts w:hint="eastAsia" w:ascii="仿宋_GB2312" w:hAnsi="仿宋_GB2312" w:eastAsia="仿宋_GB2312" w:cs="仿宋_GB2312"/>
          <w:sz w:val="32"/>
          <w:szCs w:val="32"/>
        </w:rPr>
        <w:t>查新报告</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企业营业执照或事业单位法人证书</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项目负责人在职在岗或在聘和职称证明材料</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合作协议（申报项目有合作单位的需提供）</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val="0"/>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项目配套资金证明材料及配套资金承诺书</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val="0"/>
        <w:overflowPunct/>
        <w:topLinePunct w:val="0"/>
        <w:autoSpaceDE/>
        <w:autoSpaceDN/>
        <w:bidi w:val="0"/>
        <w:adjustRightInd w:val="0"/>
        <w:snapToGrid/>
        <w:spacing w:line="560" w:lineRule="exact"/>
        <w:ind w:left="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年度财务中介机构出具的财务审计报告（项目申报单位不是企业的，无需提供）</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val="0"/>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其它相关证明材料或文件。</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firstLine="640" w:firstLineChars="200"/>
        <w:textAlignment w:val="auto"/>
        <w:rPr>
          <w:rFonts w:ascii="黑体" w:hAnsi="黑体" w:eastAsia="黑体" w:cs="仿宋"/>
          <w:color w:val="333333"/>
          <w:sz w:val="32"/>
          <w:szCs w:val="32"/>
        </w:rPr>
      </w:pPr>
      <w:r>
        <w:rPr>
          <w:rFonts w:hint="eastAsia" w:ascii="黑体" w:hAnsi="黑体" w:eastAsia="黑体" w:cs="仿宋"/>
          <w:color w:val="333333"/>
          <w:sz w:val="32"/>
          <w:szCs w:val="32"/>
          <w:lang w:eastAsia="zh-CN"/>
        </w:rPr>
        <w:t>四</w:t>
      </w:r>
      <w:r>
        <w:rPr>
          <w:rFonts w:hint="eastAsia" w:ascii="黑体" w:hAnsi="黑体" w:eastAsia="黑体" w:cs="仿宋"/>
          <w:color w:val="333333"/>
          <w:sz w:val="32"/>
          <w:szCs w:val="32"/>
        </w:rPr>
        <w:t>、联系方式</w:t>
      </w:r>
      <w:bookmarkStart w:id="0" w:name="_GoBack"/>
      <w:bookmarkEnd w:id="0"/>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1598" w:leftChars="304" w:hanging="960" w:hangingChars="3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市科技局农村与社会发展科技科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0357-2100981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bidi w:val="0"/>
        <w:adjustRightInd/>
        <w:snapToGrid/>
        <w:spacing w:line="240" w:lineRule="auto"/>
        <w:textAlignment w:val="auto"/>
      </w:pPr>
    </w:p>
    <w:p>
      <w:pPr>
        <w:keepNext w:val="0"/>
        <w:keepLines w:val="0"/>
        <w:pageBreakBefore w:val="0"/>
        <w:widowControl w:val="0"/>
        <w:kinsoku/>
        <w:wordWrap/>
        <w:overflowPunct/>
        <w:topLinePunct w:val="0"/>
        <w:autoSpaceDE/>
        <w:bidi w:val="0"/>
        <w:adjustRightInd/>
        <w:snapToGrid/>
        <w:spacing w:line="560" w:lineRule="exact"/>
        <w:textAlignment w:val="auto"/>
      </w:pPr>
    </w:p>
    <w:p>
      <w:pPr>
        <w:keepNext w:val="0"/>
        <w:keepLines w:val="0"/>
        <w:pageBreakBefore w:val="0"/>
        <w:widowControl w:val="0"/>
        <w:kinsoku/>
        <w:wordWrap/>
        <w:overflowPunct/>
        <w:topLinePunct w:val="0"/>
        <w:autoSpaceDE/>
        <w:bidi w:val="0"/>
        <w:adjustRightInd/>
        <w:snapToGrid/>
        <w:spacing w:line="560" w:lineRule="exact"/>
        <w:textAlignment w:val="auto"/>
      </w:pPr>
    </w:p>
    <w:p>
      <w:pPr>
        <w:pStyle w:val="3"/>
      </w:pPr>
    </w:p>
    <w:sectPr>
      <w:headerReference r:id="rId3" w:type="default"/>
      <w:footerReference r:id="rId4" w:type="default"/>
      <w:pgSz w:w="11906" w:h="16838"/>
      <w:pgMar w:top="1440" w:right="1800" w:bottom="1440" w:left="1800"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004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002030204"/>
    <w:charset w:val="00"/>
    <w:family w:val="swiss"/>
    <w:pitch w:val="default"/>
    <w:sig w:usb0="00000000" w:usb1="00000000" w:usb2="00000000" w:usb3="00000000" w:csb0="2000019F" w:csb1="00000000"/>
  </w:font>
  <w:font w:name="楷体_GB2312">
    <w:altName w:val="楷体"/>
    <w:panose1 w:val="02010609030001010101"/>
    <w:charset w:val="00"/>
    <w:family w:val="modern"/>
    <w:pitch w:val="default"/>
    <w:sig w:usb0="00000000" w:usb1="00000000" w:usb2="00000010" w:usb3="00000000" w:csb0="00040000" w:csb1="00000000"/>
  </w:font>
  <w:font w:name="Cambria">
    <w:altName w:val="FreeSerif"/>
    <w:panose1 w:val="02040503050004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DT5x9SrwEAAEQDAAAOAAAAAAAAAAEAIAAAADUBAABkcnMvZTJvRG9jLnht&#10;bFBLBQYAAAAABgAGAFkBAABW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F3539"/>
    <w:multiLevelType w:val="singleLevel"/>
    <w:tmpl w:val="EAFF35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true"/>
  <w:embedSystemFont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ABD3AC"/>
    <w:rsid w:val="1ABF10DB"/>
    <w:rsid w:val="1F77485C"/>
    <w:rsid w:val="23EFC522"/>
    <w:rsid w:val="27A7F646"/>
    <w:rsid w:val="27D56912"/>
    <w:rsid w:val="32FF0C1A"/>
    <w:rsid w:val="34FEEEC2"/>
    <w:rsid w:val="34FF4642"/>
    <w:rsid w:val="35F7F1D1"/>
    <w:rsid w:val="37EB5BA4"/>
    <w:rsid w:val="37F80854"/>
    <w:rsid w:val="3CBD8A34"/>
    <w:rsid w:val="3D91B8B8"/>
    <w:rsid w:val="3DFF8AC7"/>
    <w:rsid w:val="3FDDA1B1"/>
    <w:rsid w:val="4FBDD4A9"/>
    <w:rsid w:val="517AF887"/>
    <w:rsid w:val="539DCDE7"/>
    <w:rsid w:val="57AD5F81"/>
    <w:rsid w:val="57BCC49B"/>
    <w:rsid w:val="5DBFD497"/>
    <w:rsid w:val="5DFB19E5"/>
    <w:rsid w:val="5EFF5D02"/>
    <w:rsid w:val="637BEDB6"/>
    <w:rsid w:val="69FF3436"/>
    <w:rsid w:val="6DCF36AE"/>
    <w:rsid w:val="6F5D5CE5"/>
    <w:rsid w:val="72FFF92E"/>
    <w:rsid w:val="73BFE03D"/>
    <w:rsid w:val="745FC2CE"/>
    <w:rsid w:val="75ED5D32"/>
    <w:rsid w:val="77AFC6EF"/>
    <w:rsid w:val="78ED4245"/>
    <w:rsid w:val="7B5F55A8"/>
    <w:rsid w:val="7BEA4F78"/>
    <w:rsid w:val="7CBA0AD3"/>
    <w:rsid w:val="7DEEE7D5"/>
    <w:rsid w:val="7DF9618E"/>
    <w:rsid w:val="7DFB7FEE"/>
    <w:rsid w:val="7F3E440B"/>
    <w:rsid w:val="7F5FFA41"/>
    <w:rsid w:val="7F9F3E1C"/>
    <w:rsid w:val="7FA7FBC2"/>
    <w:rsid w:val="9DFE1C68"/>
    <w:rsid w:val="A37F4D38"/>
    <w:rsid w:val="AF93112B"/>
    <w:rsid w:val="B6F8DC06"/>
    <w:rsid w:val="B7FFB68A"/>
    <w:rsid w:val="B9DC7E03"/>
    <w:rsid w:val="C7BF3939"/>
    <w:rsid w:val="D3FED93F"/>
    <w:rsid w:val="D5E7D1CF"/>
    <w:rsid w:val="D6FF7440"/>
    <w:rsid w:val="D7B1419C"/>
    <w:rsid w:val="DB7B6B59"/>
    <w:rsid w:val="DC7EA7DF"/>
    <w:rsid w:val="DDFD925F"/>
    <w:rsid w:val="DF5F8347"/>
    <w:rsid w:val="DFF79552"/>
    <w:rsid w:val="E77F2493"/>
    <w:rsid w:val="E7BD59CA"/>
    <w:rsid w:val="EBFE231B"/>
    <w:rsid w:val="EBFF4F29"/>
    <w:rsid w:val="EFA179A7"/>
    <w:rsid w:val="F4FF21F2"/>
    <w:rsid w:val="F76FAC3A"/>
    <w:rsid w:val="F77E6563"/>
    <w:rsid w:val="F7B7D51A"/>
    <w:rsid w:val="F7CB6182"/>
    <w:rsid w:val="FB3BD7B7"/>
    <w:rsid w:val="FB6E079A"/>
    <w:rsid w:val="FB6F2672"/>
    <w:rsid w:val="FBC5BA34"/>
    <w:rsid w:val="FBDB5BCC"/>
    <w:rsid w:val="FBFD011A"/>
    <w:rsid w:val="FBFD5CA7"/>
    <w:rsid w:val="FD7D2566"/>
    <w:rsid w:val="FDDDCE46"/>
    <w:rsid w:val="FDFCA8B8"/>
    <w:rsid w:val="FE7D9D48"/>
    <w:rsid w:val="FEE5659F"/>
    <w:rsid w:val="FEEF8BC2"/>
    <w:rsid w:val="FF1725B4"/>
    <w:rsid w:val="FFB6D0DC"/>
    <w:rsid w:val="FFFD8236"/>
    <w:rsid w:val="FFFE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5"/>
    <w:basedOn w:val="1"/>
    <w:next w:val="1"/>
    <w:qFormat/>
    <w:uiPriority w:val="99"/>
    <w:pPr>
      <w:keepNext/>
      <w:keepLines/>
      <w:spacing w:before="280" w:after="290" w:line="372" w:lineRule="auto"/>
      <w:outlineLvl w:val="4"/>
    </w:pPr>
    <w:rPr>
      <w:sz w:val="28"/>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Title"/>
    <w:basedOn w:val="1"/>
    <w:next w:val="1"/>
    <w:qFormat/>
    <w:uiPriority w:val="0"/>
    <w:pPr>
      <w:widowControl w:val="0"/>
      <w:spacing w:before="240" w:after="60"/>
      <w:jc w:val="center"/>
      <w:outlineLvl w:val="0"/>
    </w:pPr>
    <w:rPr>
      <w:rFonts w:ascii="Calibri Light" w:hAnsi="Calibri Light" w:eastAsia="宋体" w:cs="Times New Roman"/>
      <w:b/>
      <w:bCs/>
      <w:kern w:val="2"/>
      <w:sz w:val="32"/>
      <w:szCs w:val="32"/>
      <w:lang w:val="en-US" w:eastAsia="zh-CN" w:bidi="ar-SA"/>
    </w:rPr>
  </w:style>
  <w:style w:type="paragraph" w:styleId="4">
    <w:name w:val="Body Text"/>
    <w:qFormat/>
    <w:uiPriority w:val="0"/>
    <w:pPr>
      <w:widowControl w:val="0"/>
      <w:spacing w:after="120"/>
      <w:jc w:val="both"/>
    </w:pPr>
    <w:rPr>
      <w:rFonts w:ascii="Times New Roman" w:hAnsi="Times New Roman" w:eastAsia="宋体" w:cs="Times New Roman"/>
      <w:kern w:val="2"/>
      <w:sz w:val="21"/>
      <w:lang w:val="en-US" w:eastAsia="zh-CN" w:bidi="ar-SA"/>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qFormat/>
    <w:uiPriority w:val="0"/>
    <w:pPr>
      <w:widowControl w:val="0"/>
      <w:snapToGrid w:val="0"/>
      <w:spacing w:before="80"/>
      <w:jc w:val="left"/>
    </w:pPr>
    <w:rPr>
      <w:rFonts w:ascii="宋体" w:hAnsi="宋体" w:eastAsia="宋体" w:cs="Times New Roman"/>
      <w:kern w:val="2"/>
      <w:sz w:val="24"/>
      <w:szCs w:val="28"/>
      <w:lang w:val="en-US" w:eastAsia="zh-CN" w:bidi="ar-SA"/>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qFormat/>
    <w:uiPriority w:val="0"/>
  </w:style>
  <w:style w:type="paragraph" w:customStyle="1" w:styleId="14">
    <w:name w:val="Default"/>
    <w:qFormat/>
    <w:uiPriority w:val="0"/>
    <w:pPr>
      <w:widowControl w:val="0"/>
      <w:autoSpaceDE w:val="0"/>
      <w:autoSpaceDN w:val="0"/>
      <w:adjustRightInd w:val="0"/>
    </w:pPr>
    <w:rPr>
      <w:rFonts w:ascii="楷体_GB2312" w:hAnsi="楷体_GB2312" w:eastAsia="Times New Roman" w:cs="Times New Roman"/>
      <w:color w:val="000000"/>
      <w:sz w:val="24"/>
      <w:szCs w:val="22"/>
      <w:lang w:val="en-US" w:eastAsia="zh-CN" w:bidi="ar-SA"/>
    </w:rPr>
  </w:style>
  <w:style w:type="character" w:customStyle="1" w:styleId="15">
    <w:name w:val="批注框文本 Char"/>
    <w:basedOn w:val="12"/>
    <w:link w:val="5"/>
    <w:qFormat/>
    <w:uiPriority w:val="0"/>
    <w:rPr>
      <w:rFonts w:ascii="Calibri" w:hAnsi="Calibri" w:eastAsia="宋体" w:cs="Times New Roman"/>
      <w:kern w:val="2"/>
      <w:sz w:val="18"/>
      <w:szCs w:val="18"/>
    </w:rPr>
  </w:style>
  <w:style w:type="paragraph" w:styleId="16">
    <w:name w:val="List Paragraph"/>
    <w:basedOn w:val="1"/>
    <w:qFormat/>
    <w:uiPriority w:val="99"/>
    <w:pPr>
      <w:ind w:firstLine="420" w:firstLineChars="200"/>
    </w:pPr>
  </w:style>
  <w:style w:type="paragraph" w:customStyle="1" w:styleId="17">
    <w:name w:val="标题4"/>
    <w:qFormat/>
    <w:uiPriority w:val="0"/>
    <w:pPr>
      <w:widowControl w:val="0"/>
      <w:spacing w:before="240" w:after="60"/>
      <w:jc w:val="center"/>
      <w:outlineLvl w:val="0"/>
    </w:pPr>
    <w:rPr>
      <w:rFonts w:ascii="Cambria" w:hAnsi="Cambria" w:eastAsia="宋体" w:cs="Times New Roman"/>
      <w:b/>
      <w:bCs/>
      <w:kern w:val="2"/>
      <w:sz w:val="60"/>
      <w:szCs w:val="60"/>
      <w:lang w:val="en-US" w:eastAsia="zh-CN" w:bidi="ar-SA"/>
    </w:rPr>
  </w:style>
  <w:style w:type="paragraph" w:customStyle="1" w:styleId="18">
    <w:name w:val="1"/>
    <w:next w:val="4"/>
    <w:qFormat/>
    <w:uiPriority w:val="0"/>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Pages>
  <Words>3738</Words>
  <Characters>3805</Characters>
  <Paragraphs>711</Paragraphs>
  <TotalTime>44</TotalTime>
  <ScaleCrop>false</ScaleCrop>
  <LinksUpToDate>false</LinksUpToDate>
  <CharactersWithSpaces>4360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2014-11-14T04:08:00Z</dcterms:created>
  <dc:creator>hp</dc:creator>
  <cp:lastModifiedBy>user</cp:lastModifiedBy>
  <cp:lastPrinted>2025-08-09T09:19:00Z</cp:lastPrinted>
  <dcterms:modified xsi:type="dcterms:W3CDTF">2025-09-01T10:30:56Z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406eea6a6db0454da6e4dc720b97219c</vt:lpwstr>
  </property>
</Properties>
</file>