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</w:t>
      </w:r>
      <w:r>
        <w:rPr>
          <w:rFonts w:hint="eastAsia"/>
          <w:b/>
          <w:bCs/>
          <w:sz w:val="44"/>
          <w:szCs w:val="44"/>
          <w:lang w:eastAsia="zh-CN"/>
        </w:rPr>
        <w:t>临汾</w:t>
      </w:r>
      <w:r>
        <w:rPr>
          <w:rFonts w:hint="eastAsia"/>
          <w:b/>
          <w:bCs/>
          <w:sz w:val="44"/>
          <w:szCs w:val="44"/>
        </w:rPr>
        <w:t>市工程技术研究中心管理办法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（试行）</w:t>
      </w:r>
      <w:r>
        <w:rPr>
          <w:rFonts w:hint="eastAsia"/>
          <w:b/>
          <w:bCs/>
          <w:sz w:val="44"/>
          <w:szCs w:val="44"/>
        </w:rPr>
        <w:t>》政策解读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为深入落实我市《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中共临汾市委办公室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临汾市人民政府办公室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临汾市推动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“111”创新工程支撑引领高质量转型发展工作方案的通知》（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号）文件精神，加强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市工程技术研究中心（以下简称“市工程中心”）的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与运行管理，充分发挥市工程中心在促进技术创新、推动科技成果转化及产业化方面的示范和带动作用，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市科技局于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2021年9月23日印发了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市工程技术研究中心管理办法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》（以下简称“管理办法”），现将相关情况解读如下：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一、制定依据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省内文件。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2015年12月14日省科技厅出台的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《山西省工程技术研究中心管理办法》（晋科高发〔2015〕162号）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内文件。《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中共临汾市委办公室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临汾市人民政府办公室 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临汾市推动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“111”创新工程支撑引领高质量转型发展工作方案的通知》（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</w:t>
      </w:r>
      <w:r>
        <w:rPr>
          <w:rFonts w:hint="eastAsia" w:ascii="仿宋_GB2312" w:hAnsi="仿宋_GB2312" w:eastAsia="仿宋_GB2312" w:cs="仿宋_GB2312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《管理办法》共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条，首先明确了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中心的发展定位、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建设原则、管理机构及职责以及中心的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；其次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建设中心的依托单位、建设条件和认定程序；再次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中心的运行机制、管理模式、管理制度以及中心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等管理制度；最后明确了《管理办法》施行日及有效期。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三、认定条件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中心应具备以下基本条件：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（一）具有较明确的研究方向和工程研究定位，能较好反映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临汾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发展方向或地方重点支持行业、领域；在所属行业、领域具有较雄厚的科研与开发实力，良好的产学研合作背景，在市内外有一定影响；承担并出色完成了市级以上各项重点科技计划任务，拥有较好的工程技术研究开发和设计基础，以及较丰富的成果转化背景及经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（二）拥有一批技术含量高、市场前景广阔的具有自主知识产权的高新技术成果、发明专利或专有技术。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（三）拥有本行业高水平的工程技术带头人，拥有较高水平的工程技术研究开发人才、能够承担工程试验的熟练技术工人。科研团队研发实力较强，结构合理，具有完善的组织管理机构和运行机制。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具备工程技术试验条件和基础设施，有必要的检测分析、测试手段和工艺设备，具备承担综合性工程技术试验任务的能力，有能满足本专业领域研发应用的固定场所，其中依托企业组建的，企业应已经建立有相应研究开发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（五）拥有较雄厚的科研资产和经济实力，有筹措资金的能力和信誉，有一定的自有资金，能够确保开展相应的研究与开发，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研究开发费用占上年度销售收入的比例不低于2%。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四、体制机制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市工程中心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管理委员会领导下的主任负责制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，加强产学研协同创新，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加速科技成果转化，推进科技经济一体化进程，培养并聚集一批高素质的高素质的工程化技术带头人和技术骨干。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中心依照章程管理，实行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决策制、中心主任负责制、专家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委员会咨询制，形成企业、高等学校、科研院所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等多方共同建设、共同管理、共同运营、良性互动的内部治理机制。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五、保障措施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加强统筹协调，落实和完善科技创新政策，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新认定的工程中心按照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《临汾市进一步支持科技创新的若干措施》（临政办发〔2018〕35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，给予一次性奖励，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主管部门和依托单位对工程中心给予相应配套经费支持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（一）符合认定条件的申报单位，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填写市工程中心申报书</w:t>
      </w:r>
      <w:r>
        <w:rPr>
          <w:rFonts w:hint="eastAsia" w:ascii="仿宋_GB2312" w:hAnsi="仿宋_GB2312" w:eastAsia="仿宋_GB2312" w:cs="仿宋_GB2312"/>
          <w:sz w:val="32"/>
          <w:szCs w:val="32"/>
        </w:rPr>
        <w:t>, 提供所需的附件及证明材料，经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部门审核后推荐上报。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中心常态化申报、分批评审立项。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749B1"/>
    <w:rsid w:val="41B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2022-01-11T10:11:00Z</dcterms:created>
  <dc:creator>12340</dc:creator>
  <cp:lastModifiedBy>12340</cp:lastModifiedBy>
  <dcterms:modified xsi:type="dcterms:W3CDTF">2022-01-11T10:11:34Z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1F77E25BF12444EC827505839E0D22FD</vt:lpwstr>
  </property>
</Properties>
</file>