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2" w:lineRule="atLeast"/>
        <w:ind w:left="0" w:right="0" w:firstLine="0"/>
        <w:jc w:val="center"/>
        <w:rPr>
          <w:rFonts w:ascii="Arial" w:hAnsi="Arial" w:cs="Arial"/>
          <w:i w:val="0"/>
          <w:iCs w:val="0"/>
          <w:caps w:val="0"/>
          <w:color w:val="000000"/>
          <w:spacing w:val="0"/>
          <w:sz w:val="36"/>
          <w:szCs w:val="36"/>
        </w:rPr>
      </w:pPr>
      <w:bookmarkStart w:id="0" w:name="_GoBack"/>
      <w:r>
        <w:rPr>
          <w:rFonts w:hint="default" w:ascii="Arial" w:hAnsi="Arial" w:cs="Arial"/>
          <w:i w:val="0"/>
          <w:iCs w:val="0"/>
          <w:caps w:val="0"/>
          <w:color w:val="000000"/>
          <w:spacing w:val="0"/>
          <w:sz w:val="36"/>
          <w:szCs w:val="36"/>
          <w:bdr w:val="none" w:color="auto" w:sz="0" w:space="0"/>
        </w:rPr>
        <w:t>《关于进一步扩大高校和科研院所科研相关自主权的实施意见》政策解读</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64" w:lineRule="atLeast"/>
        <w:ind w:left="0" w:right="0" w:firstLine="0"/>
        <w:jc w:val="center"/>
        <w:rPr>
          <w:rFonts w:hint="default" w:ascii="Arial" w:hAnsi="Arial" w:cs="Arial"/>
          <w:i w:val="0"/>
          <w:iCs w:val="0"/>
          <w:caps w:val="0"/>
          <w:color w:val="999999"/>
          <w:spacing w:val="0"/>
          <w:sz w:val="16"/>
          <w:szCs w:val="16"/>
        </w:rPr>
      </w:pPr>
      <w:r>
        <w:rPr>
          <w:rFonts w:hint="default" w:ascii="Arial" w:hAnsi="Arial" w:eastAsia="宋体" w:cs="Arial"/>
          <w:i w:val="0"/>
          <w:iCs w:val="0"/>
          <w:caps w:val="0"/>
          <w:color w:val="999999"/>
          <w:spacing w:val="0"/>
          <w:kern w:val="0"/>
          <w:sz w:val="16"/>
          <w:szCs w:val="16"/>
          <w:bdr w:val="none" w:color="auto" w:sz="0" w:space="0"/>
          <w:lang w:val="en-US" w:eastAsia="zh-CN" w:bidi="ar"/>
        </w:rPr>
        <w:t>2021-08-18    浏览： </w:t>
      </w:r>
      <w:r>
        <w:rPr>
          <w:rFonts w:hint="default" w:ascii="Arial" w:hAnsi="Arial" w:eastAsia="宋体" w:cs="Arial"/>
          <w:i w:val="0"/>
          <w:iCs w:val="0"/>
          <w:caps w:val="0"/>
          <w:color w:val="999999"/>
          <w:spacing w:val="0"/>
          <w:kern w:val="0"/>
          <w:sz w:val="16"/>
          <w:szCs w:val="16"/>
          <w:lang w:val="en-US" w:eastAsia="zh-CN" w:bidi="ar"/>
        </w:rPr>
        <w:t>28</w:t>
      </w:r>
      <w:r>
        <w:rPr>
          <w:rFonts w:hint="default" w:ascii="Arial" w:hAnsi="Arial" w:eastAsia="宋体" w:cs="Arial"/>
          <w:i w:val="0"/>
          <w:iCs w:val="0"/>
          <w:caps w:val="0"/>
          <w:color w:val="999999"/>
          <w:spacing w:val="0"/>
          <w:kern w:val="0"/>
          <w:sz w:val="16"/>
          <w:szCs w:val="16"/>
          <w:bdr w:val="none" w:color="auto" w:sz="0" w:space="0"/>
          <w:lang w:val="en-US" w:eastAsia="zh-CN" w:bidi="ar"/>
        </w:rPr>
        <w:t> 次</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一、制订背景</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为进一步推动扩大高校和科研院所科研领域自主权，增强创新活力，提升创新绩效，打造一流创新生态，根据科技部等部门《关于扩大高校和科研院所科研相关自主权的若干意见》（国科发政〔2019〕260号）文件要求，2020年8月，《关于进一步扩大高校和科研院所科研相关自主权的实施意见》（晋科发〔2020〕41号）（以下简称《实施意见》）经中共山西省委全面深化改革委员会第二十三次会议审议通过，以科技厅、教育厅、发改委、财政厅、人社厅、审计厅、省外办等7部门联合发文执行。</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二、主要内容</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实施意见》共分为4部分13条，主要从深化科研领域“放管服效”改革、改革相关人事管理方式、完善绩效工资分配方式、切实履行好高校科研院所主体责任等四个方面提出扩大高校和科研院所科研相关自主权的13条具体举措。</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一是深化科研领域“放管服效”改革。《实施意见》从三个方面赋予科研人员更大的科研自主权，一是下放技术路线调整权，提出“省级科研项目负责人可以在研究方向不变、不降低申报指标的前提下自主调整研究方案、技术路线，由项目牵头单位报科研项目管理部门备案”；二是下放科技项目人员调配审批权，提出“项目负责人可以根据项目需要，自主组建科研团队，除项目负责人以外的参与人员和协作单位调整，审批权下放到项目牵头单位，并报科研项目管理部门备案”，三是下放公务卡管理自主权，提出“项目承担单位应允许在不具备刷卡条件的情况下，如野外科考工作中发生的支出等由经办人附上相关说明后可不使用公务卡结算；允许项目临时聘用人员、研究生等不具备公务卡申请条件的人员因执行项目任务产生的差旅费不使用公务卡结算”。</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二是改革人事管理方式。《实施意见》提出了三个“扩大”和一个“优化”。三个“扩大”：一是扩大单位用人自主权。“高校和科研院所可在核定的编制总量内，根据国家有关规定和开展科研活动需要自主决定岗位聘用人员，对本土培养人才和省外、海外引进人才一视同仁、平等对待”。二是扩大岗位管理自主权。“高校和科研院所可根据有关规定，在核定的编制总量内自主制订岗位设置方案和管理办法，自主确定三类岗位结构比例”。三是扩大职称评审自主权。“高校和科研院所按照管理权限和有关规定，自主制定教师和科研人员职称评审标准条件和实施方案，自主开展职称评审，评审结果事后报主管部门和人力资源社会保障行政部门备案”。一个“优化”是指：优化教学科研人员因公临时出国（境）审批流程。在严格管理的基础上加快办理进度，提高教学科研人员参与国际合作交流的便利性。</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三是不断完善薪酬激励体系。《实施意见》提出加大绩效工资分配向科研人员倾斜力度。高校和科研院所可在绩效工资总量内，按国家和省有关规定自主确定绩效工资结构、考核办法、分配方式、工资项目名称、标准和发放范围，绩效工资分配要向关键创新岗位、作出突出贡献的科研人员、承担财政科研项目的人员、创新团队和优秀青年人才倾斜。对全时承担国家关键领域核心技术攻关任务的团队负责人以及单位引进的急需紧缺高层次人才等可实行年薪制、协议工资、项目工资等灵活分配方式，其薪酬在所在单位绩效工资总量中单列，相应增加单位当年绩效工资总量。科研人员获得的职务科技成果转化现金奖励、符合有关规定的兼职或离岗创业收入，不受绩效工资总量限制，不纳入总量基数。</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四是改进科技创新保障服务。《实施意见》提出对在担当作为中发生无意过失的干部，要按照事业为上、实事求是、依法依纪、容纠并举等原则，进行综合分析和妥善处理，该容的大胆容，不该容的坚决不容，鼓励干部敢于担当、主动作为。</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三、主要特点</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一是推进科研项目管理机制改革。在省级科技计划基础研究和软科学研究领域，试点开展科研项目经费“包干制”，经费不设科目比例限制，由项目负责人按有关财务规定自主决定使用。在省应用基础研究计划中选择部分高校和科研院所试行“自主验收和结题备案制”。</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二是推进科技成果转化机制改革。高校和科研院所对持有的科技成果，可以自主决定转让、许可或者作价投资，不需报主管部门审批或者备案，允许高校和科研院所对持有的科技成果自主决定是否进行资产评估。</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三是坚持简政放权与加强监管相结合。以“接得住、用得好、不出事”为目标，提出落实主体责任，明确高校和科研院所党政主要领导是抓落实的第一责任人，强化政策执行，要求省属高校和科研院所要制定本单位操作办法的政策措施。</w:t>
      </w:r>
    </w:p>
    <w:p>
      <w:pPr>
        <w:pStyle w:val="3"/>
        <w:keepNext w:val="0"/>
        <w:keepLines w:val="0"/>
        <w:widowControl/>
        <w:suppressLineNumbers w:val="0"/>
        <w:spacing w:before="0" w:beforeAutospacing="0" w:after="0" w:afterAutospacing="0" w:line="24" w:lineRule="atLeast"/>
        <w:ind w:left="0" w:right="0"/>
      </w:pPr>
      <w:r>
        <w:rPr>
          <w:rFonts w:hint="eastAsia" w:ascii="宋体" w:hAnsi="宋体" w:eastAsia="宋体" w:cs="宋体"/>
          <w:i w:val="0"/>
          <w:iCs w:val="0"/>
          <w:caps w:val="0"/>
          <w:color w:val="000000"/>
          <w:spacing w:val="0"/>
          <w:sz w:val="19"/>
          <w:szCs w:val="19"/>
          <w:bdr w:val="none" w:color="auto" w:sz="0" w:space="0"/>
        </w:rPr>
        <w:t>    （来源：山西省科学技术厅）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F3366"/>
    <w:rsid w:val="48BF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2021-09-02T02:31:00Z</dcterms:created>
  <dc:creator>12340</dc:creator>
  <cp:lastModifiedBy>12340</cp:lastModifiedBy>
  <dcterms:modified xsi:type="dcterms:W3CDTF">2021-09-02T02:34:00Z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97758CA8D255486A9D3FB6BA26CD903F</vt:lpwstr>
  </property>
</Properties>
</file>